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8FD27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关于</w:t>
      </w: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rPr>
        <w:t>那曲市生态环境保护专家库管理办法》</w:t>
      </w:r>
    </w:p>
    <w:p w14:paraId="5DE7BE1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起草说明</w:t>
      </w:r>
    </w:p>
    <w:p w14:paraId="656DEFF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p>
    <w:p w14:paraId="06DFF3E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为规范我市生态环境保护专家库运行管理，充分发挥技术专家在生态环境各项业务工作中的技术支撑作用，那曲市生态环境局组织起草了《那曲市生态环境保护专家库管理办法》（以下简称《办法》），现将有关情况说明如下：</w:t>
      </w:r>
    </w:p>
    <w:p w14:paraId="7446BD67">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一、制定背景</w:t>
      </w:r>
    </w:p>
    <w:p w14:paraId="6FD3F47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那曲市地处青藏高原腹地，属于高寒高海拔生态敏感脆弱区域，生态环境保护工作任务重、专业性强。建设项目环评审查、生态环境损害赔偿鉴定评估、高原生态修复论证、突发环境事件应急处置等各项工作，均需要专业技术专家提供技术研判支撑。</w:t>
      </w:r>
    </w:p>
    <w:p w14:paraId="1025D2DF">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为补齐技术支撑短板，我市组织开展生态环境保护专家库专家公开征集工作，共收到62名专家入库申请，经资格初审，拟入库专家60名，专业覆盖环境影响评价、生态损害鉴定、污染治理、高原生态修复、环境应急等多个领域。为统一规范专家入库遴选、权利义务、抽取使用、考核评价、出库退出、档案管理全流程工作，明晰各方职责，约束入库专家履职行为，保障专家库科学有序运行，结合那曲本地人才储备不足、地域辽阔、交通不便、高原生态特殊性等实际情况，参照自治区相关制度，制定本《办法》。</w:t>
      </w:r>
    </w:p>
    <w:p w14:paraId="6055F7F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二、制定依据</w:t>
      </w:r>
    </w:p>
    <w:p w14:paraId="47C7573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kern w:val="2"/>
          <w:sz w:val="32"/>
          <w:szCs w:val="32"/>
          <w:lang w:val="en-US" w:eastAsia="zh-CN" w:bidi="ar-SA"/>
        </w:rPr>
        <w:t>1.</w:t>
      </w:r>
      <w:r>
        <w:rPr>
          <w:rStyle w:val="9"/>
          <w:rFonts w:hint="default" w:ascii="Times New Roman" w:hAnsi="Times New Roman" w:eastAsia="方正仿宋简体" w:cs="Times New Roman"/>
          <w:b/>
          <w:bCs/>
          <w:sz w:val="32"/>
          <w:szCs w:val="32"/>
        </w:rPr>
        <w:t>法律依据</w:t>
      </w:r>
      <w:r>
        <w:rPr>
          <w:rFonts w:hint="default" w:ascii="Times New Roman" w:hAnsi="Times New Roman" w:eastAsia="方正仿宋简体" w:cs="Times New Roman"/>
          <w:b/>
          <w:bCs/>
          <w:sz w:val="32"/>
          <w:szCs w:val="32"/>
        </w:rPr>
        <w:t>：</w:t>
      </w:r>
      <w:r>
        <w:rPr>
          <w:rFonts w:hint="default" w:ascii="Times New Roman" w:hAnsi="Times New Roman" w:eastAsia="方正仿宋简体" w:cs="Times New Roman"/>
          <w:b w:val="0"/>
          <w:bCs w:val="0"/>
          <w:sz w:val="32"/>
          <w:szCs w:val="32"/>
        </w:rPr>
        <w:t>《中华人民共和国</w:t>
      </w:r>
      <w:r>
        <w:rPr>
          <w:rFonts w:hint="default" w:ascii="Times New Roman" w:hAnsi="Times New Roman" w:eastAsia="方正仿宋简体" w:cs="Times New Roman"/>
          <w:b w:val="0"/>
          <w:bCs w:val="0"/>
          <w:sz w:val="32"/>
          <w:szCs w:val="32"/>
          <w:lang w:val="en-US" w:eastAsia="zh-CN"/>
        </w:rPr>
        <w:t>生态环境法典</w:t>
      </w:r>
      <w:r>
        <w:rPr>
          <w:rFonts w:hint="default" w:ascii="Times New Roman" w:hAnsi="Times New Roman" w:eastAsia="方正仿宋简体" w:cs="Times New Roman"/>
          <w:b w:val="0"/>
          <w:bCs w:val="0"/>
          <w:sz w:val="32"/>
          <w:szCs w:val="32"/>
        </w:rPr>
        <w:t>》《生态环境损害赔偿管理规定》；</w:t>
      </w:r>
    </w:p>
    <w:p w14:paraId="055F14C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kern w:val="2"/>
          <w:sz w:val="32"/>
          <w:szCs w:val="32"/>
          <w:lang w:val="en-US" w:eastAsia="zh-CN" w:bidi="ar-SA"/>
        </w:rPr>
        <w:t>2.</w:t>
      </w:r>
      <w:r>
        <w:rPr>
          <w:rStyle w:val="9"/>
          <w:rFonts w:hint="default" w:ascii="Times New Roman" w:hAnsi="Times New Roman" w:eastAsia="方正仿宋简体" w:cs="Times New Roman"/>
          <w:b/>
          <w:bCs/>
          <w:sz w:val="32"/>
          <w:szCs w:val="32"/>
        </w:rPr>
        <w:t>参考规范性文件</w:t>
      </w:r>
      <w:r>
        <w:rPr>
          <w:rFonts w:hint="default" w:ascii="Times New Roman" w:hAnsi="Times New Roman" w:eastAsia="方正仿宋简体" w:cs="Times New Roman"/>
          <w:b/>
          <w:bCs/>
          <w:sz w:val="32"/>
          <w:szCs w:val="32"/>
        </w:rPr>
        <w:t>：</w:t>
      </w:r>
      <w:r>
        <w:rPr>
          <w:rFonts w:hint="default" w:ascii="Times New Roman" w:hAnsi="Times New Roman" w:eastAsia="方正仿宋简体" w:cs="Times New Roman"/>
          <w:b w:val="0"/>
          <w:bCs w:val="0"/>
          <w:sz w:val="32"/>
          <w:szCs w:val="32"/>
        </w:rPr>
        <w:t>《西藏自治区生态环境厅建设项目环境影响评价文件技术评估专家库管理办法》（藏环发〔2024〕81号）；</w:t>
      </w:r>
    </w:p>
    <w:p w14:paraId="4A30FDE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kern w:val="2"/>
          <w:sz w:val="32"/>
          <w:szCs w:val="32"/>
          <w:lang w:val="en-US" w:eastAsia="zh-CN" w:bidi="ar-SA"/>
        </w:rPr>
        <w:t>3.</w:t>
      </w:r>
      <w:r>
        <w:rPr>
          <w:rStyle w:val="9"/>
          <w:rFonts w:hint="default" w:ascii="Times New Roman" w:hAnsi="Times New Roman" w:eastAsia="方正仿宋简体" w:cs="Times New Roman"/>
          <w:b/>
          <w:bCs/>
          <w:sz w:val="32"/>
          <w:szCs w:val="32"/>
        </w:rPr>
        <w:t>地方管理要求</w:t>
      </w:r>
      <w:r>
        <w:rPr>
          <w:rFonts w:hint="default" w:ascii="Times New Roman" w:hAnsi="Times New Roman" w:eastAsia="方正仿宋简体" w:cs="Times New Roman"/>
          <w:b/>
          <w:bCs/>
          <w:sz w:val="32"/>
          <w:szCs w:val="32"/>
        </w:rPr>
        <w:t>：</w:t>
      </w:r>
      <w:r>
        <w:rPr>
          <w:rFonts w:hint="default" w:ascii="Times New Roman" w:hAnsi="Times New Roman" w:eastAsia="方正仿宋简体" w:cs="Times New Roman"/>
          <w:b w:val="0"/>
          <w:bCs w:val="0"/>
          <w:sz w:val="32"/>
          <w:szCs w:val="32"/>
        </w:rPr>
        <w:t>那曲市生态环境保护工作实际，专家库征集初审工作成果，行政规范性文件制定相关管理规定。</w:t>
      </w:r>
    </w:p>
    <w:p w14:paraId="0625191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三、主要内容</w:t>
      </w:r>
    </w:p>
    <w:p w14:paraId="7F277BC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《办法》共七章二十四条，附带3个配套附件，对专家库全链条管理作出系统规定：</w:t>
      </w:r>
    </w:p>
    <w:p w14:paraId="6B524D26">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第一章总则，明确立法目的、适用范围、部门职责及管理原则。确定市生态环境局为主管部门，市环境工程评估中心承担专家库日常运行工作，各县（区）生态环境部门做好配合反馈；结合我市现实条件，明确可综合运用现场评审、视频评审、函审等多种工作模式。</w:t>
      </w:r>
    </w:p>
    <w:p w14:paraId="40388767">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第二章专家遴选与入库，规定专家入库基本条件、申报征集方式、资格审核、公示入库流程、专业分组、动态更新、年龄管控等内容。明确各类人员入库资质标准，对申报材料不全、佐证缺失人员不予纳入候选；明确已入选国家及其他省级环评专家库人员可简化审核流程入库；专家库实行</w:t>
      </w:r>
      <w:r>
        <w:rPr>
          <w:rFonts w:hint="eastAsia" w:ascii="Times New Roman" w:hAnsi="Times New Roman" w:eastAsia="方正仿宋简体" w:cs="Times New Roman"/>
          <w:b w:val="0"/>
          <w:bCs w:val="0"/>
          <w:sz w:val="32"/>
          <w:szCs w:val="32"/>
          <w:lang w:val="en-US" w:eastAsia="zh-CN"/>
        </w:rPr>
        <w:t>三</w:t>
      </w:r>
      <w:r>
        <w:rPr>
          <w:rFonts w:hint="default" w:ascii="Times New Roman" w:hAnsi="Times New Roman" w:eastAsia="方正仿宋简体" w:cs="Times New Roman"/>
          <w:b w:val="0"/>
          <w:bCs w:val="0"/>
          <w:sz w:val="32"/>
          <w:szCs w:val="32"/>
        </w:rPr>
        <w:t>年集中更新补充、每</w:t>
      </w:r>
      <w:r>
        <w:rPr>
          <w:rFonts w:hint="eastAsia" w:ascii="Times New Roman" w:hAnsi="Times New Roman" w:eastAsia="方正仿宋简体" w:cs="Times New Roman"/>
          <w:b w:val="0"/>
          <w:bCs w:val="0"/>
          <w:sz w:val="32"/>
          <w:szCs w:val="32"/>
          <w:lang w:val="en-US" w:eastAsia="zh-CN"/>
        </w:rPr>
        <w:t>两</w:t>
      </w:r>
      <w:r>
        <w:rPr>
          <w:rFonts w:hint="default" w:ascii="Times New Roman" w:hAnsi="Times New Roman" w:eastAsia="方正仿宋简体" w:cs="Times New Roman"/>
          <w:b w:val="0"/>
          <w:bCs w:val="0"/>
          <w:sz w:val="32"/>
          <w:szCs w:val="32"/>
        </w:rPr>
        <w:t>年开展出库清理，70周岁原则上自动出库，稀缺高原专业人才可按程序延聘。</w:t>
      </w:r>
    </w:p>
    <w:p w14:paraId="18D6FEB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第三章专家权利与义务，明确专家在知情权、独立发表意见、任务选择权、获取劳务报酬、提出工作建议等方面权利；同时规定专家阅研材料、出具技术意见、回避、保密、信息更新、服从应急调度等义务，重点要求技术意见应当贴合那曲高原生态实际，杜绝模板化空泛意见。</w:t>
      </w:r>
    </w:p>
    <w:p w14:paraId="5E92A4DB">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第四章专家选取与使用，明确专家随机抽取规则，细化重大项目、打包项目、应急事件专家选用方式；明确专家回避情形；针对本地专业人才不足情形，规定特邀外部专家的审批及人数限制；结合地域实际灵活确定评审组织形式。</w:t>
      </w:r>
    </w:p>
    <w:p w14:paraId="6A5A397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第五章考核评价、监督与出库，建立日常量化考核机制，考核覆盖环评、损害赔偿、环境应急等全部工作任务，划分优秀、良好、合格、</w:t>
      </w:r>
      <w:r>
        <w:rPr>
          <w:rFonts w:hint="eastAsia" w:ascii="Times New Roman" w:hAnsi="Times New Roman" w:eastAsia="方正仿宋简体" w:cs="Times New Roman"/>
          <w:b w:val="0"/>
          <w:bCs w:val="0"/>
          <w:sz w:val="32"/>
          <w:szCs w:val="32"/>
          <w:lang w:val="en-US" w:eastAsia="zh-CN"/>
        </w:rPr>
        <w:t>不合格</w:t>
      </w:r>
      <w:r>
        <w:rPr>
          <w:rFonts w:hint="default" w:ascii="Times New Roman" w:hAnsi="Times New Roman" w:eastAsia="方正仿宋简体" w:cs="Times New Roman"/>
          <w:b w:val="0"/>
          <w:bCs w:val="0"/>
          <w:sz w:val="32"/>
          <w:szCs w:val="32"/>
        </w:rPr>
        <w:t>四个考核等次，明确考核结果运用；列明应当移出专家库的各类情形，出库人员3年内不得重新申请入库；落实全流程痕迹留痕、档案可查询可追溯管理要求。</w:t>
      </w:r>
    </w:p>
    <w:p w14:paraId="505B4134">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第六章保障与信息维护，明确专家劳务、差旅费用执行那曲市财政相关标准；建立专家个人信息动态更新维护机制。</w:t>
      </w:r>
    </w:p>
    <w:p w14:paraId="0221F178">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第七章附则，对本办法所指生态环境保护技术工作作出名词释义，明确解释部门以及施行时间。</w:t>
      </w:r>
    </w:p>
    <w:p w14:paraId="7085DCB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附件包含：附件1《</w:t>
      </w:r>
      <w:r>
        <w:rPr>
          <w:rFonts w:hint="default" w:ascii="Times New Roman" w:hAnsi="Times New Roman" w:eastAsia="方正仿宋简体" w:cs="Times New Roman"/>
          <w:b w:val="0"/>
          <w:bCs w:val="0"/>
          <w:sz w:val="32"/>
          <w:szCs w:val="32"/>
          <w:lang w:val="en-US" w:eastAsia="zh-CN"/>
        </w:rPr>
        <w:t>那曲市</w:t>
      </w:r>
      <w:r>
        <w:rPr>
          <w:rFonts w:hint="default" w:ascii="Times New Roman" w:hAnsi="Times New Roman" w:eastAsia="方正仿宋简体" w:cs="Times New Roman"/>
          <w:b w:val="0"/>
          <w:bCs w:val="0"/>
          <w:sz w:val="32"/>
          <w:szCs w:val="32"/>
        </w:rPr>
        <w:t>生态环境</w:t>
      </w:r>
      <w:r>
        <w:rPr>
          <w:rFonts w:hint="default" w:ascii="Times New Roman" w:hAnsi="Times New Roman" w:eastAsia="方正仿宋简体" w:cs="Times New Roman"/>
          <w:b w:val="0"/>
          <w:bCs w:val="0"/>
          <w:sz w:val="32"/>
          <w:szCs w:val="32"/>
          <w:lang w:val="en-US" w:eastAsia="zh-CN"/>
        </w:rPr>
        <w:t>保护</w:t>
      </w:r>
      <w:r>
        <w:rPr>
          <w:rFonts w:hint="default" w:ascii="Times New Roman" w:hAnsi="Times New Roman" w:eastAsia="方正仿宋简体" w:cs="Times New Roman"/>
          <w:b w:val="0"/>
          <w:bCs w:val="0"/>
          <w:sz w:val="32"/>
          <w:szCs w:val="32"/>
        </w:rPr>
        <w:t>专家</w:t>
      </w:r>
      <w:r>
        <w:rPr>
          <w:rFonts w:hint="default" w:ascii="Times New Roman" w:hAnsi="Times New Roman" w:eastAsia="方正仿宋简体" w:cs="Times New Roman"/>
          <w:b w:val="0"/>
          <w:bCs w:val="0"/>
          <w:sz w:val="32"/>
          <w:szCs w:val="32"/>
          <w:lang w:val="en-US" w:eastAsia="zh-CN"/>
        </w:rPr>
        <w:t>库专家</w:t>
      </w:r>
      <w:r>
        <w:rPr>
          <w:rFonts w:hint="default" w:ascii="Times New Roman" w:hAnsi="Times New Roman" w:eastAsia="方正仿宋简体" w:cs="Times New Roman"/>
          <w:b w:val="0"/>
          <w:bCs w:val="0"/>
          <w:sz w:val="32"/>
          <w:szCs w:val="32"/>
        </w:rPr>
        <w:t>申请表》，用于专家申报入库填报；附件2</w:t>
      </w:r>
      <w:r>
        <w:rPr>
          <w:rFonts w:hint="eastAsia" w:ascii="Times New Roman" w:hAnsi="Times New Roman" w:eastAsia="方正仿宋简体" w:cs="Times New Roman"/>
          <w:b w:val="0"/>
          <w:bCs w:val="0"/>
          <w:sz w:val="32"/>
          <w:szCs w:val="32"/>
          <w:lang w:eastAsia="zh-CN"/>
        </w:rPr>
        <w:t>《</w:t>
      </w:r>
      <w:r>
        <w:rPr>
          <w:rFonts w:hint="eastAsia" w:ascii="方正仿宋简体" w:hAnsi="方正仿宋简体" w:eastAsia="方正仿宋简体" w:cs="方正仿宋简体"/>
          <w:color w:val="auto"/>
          <w:kern w:val="2"/>
          <w:sz w:val="36"/>
          <w:szCs w:val="36"/>
          <w:lang w:val="en-US" w:eastAsia="zh-CN" w:bidi="ar-SA"/>
        </w:rPr>
        <w:t>专家承诺书</w:t>
      </w:r>
      <w:r>
        <w:rPr>
          <w:rFonts w:hint="eastAsia" w:ascii="Times New Roman" w:hAnsi="Times New Roman" w:eastAsia="方正仿宋简体" w:cs="Times New Roman"/>
          <w:b w:val="0"/>
          <w:bCs w:val="0"/>
          <w:sz w:val="32"/>
          <w:szCs w:val="32"/>
          <w:lang w:eastAsia="zh-CN"/>
        </w:rPr>
        <w:t>》；</w:t>
      </w:r>
      <w:r>
        <w:rPr>
          <w:rFonts w:hint="default" w:ascii="Times New Roman" w:hAnsi="Times New Roman" w:eastAsia="方正仿宋简体" w:cs="Times New Roman"/>
          <w:b w:val="0"/>
          <w:bCs w:val="0"/>
          <w:sz w:val="32"/>
          <w:szCs w:val="32"/>
        </w:rPr>
        <w:t>附件3</w:t>
      </w:r>
      <w:r>
        <w:rPr>
          <w:rFonts w:hint="default" w:ascii="Times New Roman" w:hAnsi="Times New Roman" w:eastAsia="方正仿宋简体" w:cs="Times New Roman"/>
          <w:b w:val="0"/>
          <w:bCs w:val="0"/>
          <w:sz w:val="32"/>
          <w:szCs w:val="32"/>
        </w:rPr>
        <w:t>《那曲市生态环境保护专家日常考核量化赋分表》，用于单次任务专家履职量化打分；附件</w:t>
      </w:r>
      <w:r>
        <w:rPr>
          <w:rFonts w:hint="eastAsia" w:ascii="Times New Roman" w:hAnsi="Times New Roman" w:eastAsia="方正仿宋简体" w:cs="Times New Roman"/>
          <w:b w:val="0"/>
          <w:bCs w:val="0"/>
          <w:sz w:val="32"/>
          <w:szCs w:val="32"/>
          <w:lang w:val="en-US" w:eastAsia="zh-CN"/>
        </w:rPr>
        <w:t>4</w:t>
      </w:r>
      <w:r>
        <w:rPr>
          <w:rFonts w:hint="default" w:ascii="Times New Roman" w:hAnsi="Times New Roman" w:eastAsia="方正仿宋简体" w:cs="Times New Roman"/>
          <w:b w:val="0"/>
          <w:bCs w:val="0"/>
          <w:sz w:val="32"/>
          <w:szCs w:val="32"/>
        </w:rPr>
        <w:t>《那曲市生态环境保护专家库专家日常考核汇总表》，用于归集专家历次考核结果，作为续用、约谈、出库依据。</w:t>
      </w:r>
    </w:p>
    <w:p w14:paraId="1A5F0AB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四、程序说明</w:t>
      </w:r>
    </w:p>
    <w:p w14:paraId="359064ED">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本文件属于</w:t>
      </w:r>
      <w:r>
        <w:rPr>
          <w:rStyle w:val="9"/>
          <w:rFonts w:hint="default" w:ascii="Times New Roman" w:hAnsi="Times New Roman" w:eastAsia="方正仿宋简体" w:cs="Times New Roman"/>
          <w:b w:val="0"/>
          <w:bCs w:val="0"/>
          <w:sz w:val="32"/>
          <w:szCs w:val="32"/>
        </w:rPr>
        <w:t>部门行政规范性文件</w:t>
      </w:r>
      <w:r>
        <w:rPr>
          <w:rFonts w:hint="default" w:ascii="Times New Roman" w:hAnsi="Times New Roman" w:eastAsia="方正仿宋简体" w:cs="Times New Roman"/>
          <w:b w:val="0"/>
          <w:bCs w:val="0"/>
          <w:sz w:val="32"/>
          <w:szCs w:val="32"/>
        </w:rPr>
        <w:t>。起草工作开展过程中，结合专家库征集初审实际情况完成文稿起草；文稿完成后，将按行政规范性文件管理相关规定，送局法制机构开展合法性审核，</w:t>
      </w:r>
      <w:r>
        <w:rPr>
          <w:rFonts w:hint="eastAsia" w:ascii="Times New Roman" w:hAnsi="Times New Roman" w:eastAsia="方正仿宋简体" w:cs="Times New Roman"/>
          <w:b w:val="0"/>
          <w:bCs w:val="0"/>
          <w:sz w:val="32"/>
          <w:szCs w:val="32"/>
          <w:lang w:val="en-US" w:eastAsia="zh-CN"/>
        </w:rPr>
        <w:t>向社会公开征求意见，</w:t>
      </w:r>
      <w:r>
        <w:rPr>
          <w:rFonts w:hint="default" w:ascii="Times New Roman" w:hAnsi="Times New Roman" w:eastAsia="方正仿宋简体" w:cs="Times New Roman"/>
          <w:b w:val="0"/>
          <w:bCs w:val="0"/>
          <w:sz w:val="32"/>
          <w:szCs w:val="32"/>
        </w:rPr>
        <w:t>履行局办公会集体审议程序。审议通过后以那曲市生态环境局正式文件印发，在官方平台主动向社会公开；文件印发后，按照备案管理要求报送那曲市</w:t>
      </w:r>
      <w:r>
        <w:rPr>
          <w:rFonts w:hint="eastAsia" w:ascii="Times New Roman" w:hAnsi="Times New Roman" w:eastAsia="方正仿宋简体" w:cs="Times New Roman"/>
          <w:b w:val="0"/>
          <w:bCs w:val="0"/>
          <w:sz w:val="32"/>
          <w:szCs w:val="32"/>
          <w:lang w:val="en-US" w:eastAsia="zh-CN"/>
        </w:rPr>
        <w:t>政府法规科</w:t>
      </w:r>
      <w:r>
        <w:rPr>
          <w:rFonts w:hint="default" w:ascii="Times New Roman" w:hAnsi="Times New Roman" w:eastAsia="方正仿宋简体" w:cs="Times New Roman"/>
          <w:b w:val="0"/>
          <w:bCs w:val="0"/>
          <w:sz w:val="32"/>
          <w:szCs w:val="32"/>
        </w:rPr>
        <w:t>备案。</w:t>
      </w:r>
    </w:p>
    <w:p w14:paraId="3CB21352">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本《办法》正式印发之日起</w:t>
      </w:r>
      <w:r>
        <w:rPr>
          <w:rFonts w:hint="eastAsia" w:ascii="Times New Roman" w:hAnsi="Times New Roman" w:eastAsia="方正仿宋简体" w:cs="Times New Roman"/>
          <w:b w:val="0"/>
          <w:bCs w:val="0"/>
          <w:sz w:val="32"/>
          <w:szCs w:val="32"/>
          <w:lang w:val="en-US" w:eastAsia="zh-CN"/>
        </w:rPr>
        <w:t>30日后</w:t>
      </w:r>
      <w:r>
        <w:rPr>
          <w:rFonts w:hint="default" w:ascii="Times New Roman" w:hAnsi="Times New Roman" w:eastAsia="方正仿宋简体" w:cs="Times New Roman"/>
          <w:b w:val="0"/>
          <w:bCs w:val="0"/>
          <w:sz w:val="32"/>
          <w:szCs w:val="32"/>
        </w:rPr>
        <w:t>施行。</w:t>
      </w:r>
    </w:p>
    <w:p w14:paraId="7E5821B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p>
    <w:p w14:paraId="66ED4140">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p>
    <w:p w14:paraId="6B0602C7">
      <w:pPr>
        <w:pStyle w:val="6"/>
        <w:keepNext w:val="0"/>
        <w:keepLines w:val="0"/>
        <w:pageBreakBefore w:val="0"/>
        <w:widowControl/>
        <w:suppressLineNumbers w:val="0"/>
        <w:kinsoku/>
        <w:wordWrap w:val="0"/>
        <w:overflowPunct/>
        <w:topLinePunct w:val="0"/>
        <w:autoSpaceDE/>
        <w:autoSpaceDN/>
        <w:bidi w:val="0"/>
        <w:adjustRightInd/>
        <w:snapToGrid/>
        <w:spacing w:beforeAutospacing="0" w:afterAutospacing="0" w:line="576" w:lineRule="exact"/>
        <w:ind w:firstLine="632" w:firstLineChars="200"/>
        <w:jc w:val="right"/>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rPr>
        <w:t>那曲市生态环境局</w:t>
      </w:r>
      <w:r>
        <w:rPr>
          <w:rFonts w:hint="eastAsia" w:ascii="Times New Roman" w:hAnsi="Times New Roman" w:eastAsia="方正仿宋简体" w:cs="Times New Roman"/>
          <w:b w:val="0"/>
          <w:bCs w:val="0"/>
          <w:sz w:val="32"/>
          <w:szCs w:val="32"/>
          <w:lang w:val="en-US" w:eastAsia="zh-CN"/>
        </w:rPr>
        <w:t xml:space="preserve">        </w:t>
      </w:r>
    </w:p>
    <w:p w14:paraId="6350F3DD">
      <w:pPr>
        <w:pStyle w:val="6"/>
        <w:keepNext w:val="0"/>
        <w:keepLines w:val="0"/>
        <w:pageBreakBefore w:val="0"/>
        <w:widowControl/>
        <w:suppressLineNumbers w:val="0"/>
        <w:kinsoku/>
        <w:wordWrap w:val="0"/>
        <w:overflowPunct/>
        <w:topLinePunct w:val="0"/>
        <w:autoSpaceDE/>
        <w:autoSpaceDN/>
        <w:bidi w:val="0"/>
        <w:adjustRightInd/>
        <w:snapToGrid/>
        <w:spacing w:beforeAutospacing="0" w:afterAutospacing="0" w:line="576" w:lineRule="exact"/>
        <w:ind w:firstLine="632" w:firstLineChars="200"/>
        <w:jc w:val="right"/>
        <w:textAlignment w:val="auto"/>
        <w:rPr>
          <w:rFonts w:hint="default" w:ascii="Times New Roman" w:hAnsi="Times New Roman" w:eastAsia="方正仿宋简体" w:cs="Times New Roman"/>
          <w:b w:val="0"/>
          <w:bCs w:val="0"/>
          <w:sz w:val="32"/>
          <w:szCs w:val="32"/>
          <w:lang w:val="en-US" w:eastAsia="zh-CN"/>
        </w:rPr>
      </w:pPr>
      <w:r>
        <w:rPr>
          <w:rFonts w:hint="default" w:ascii="Times New Roman" w:hAnsi="Times New Roman" w:eastAsia="方正仿宋简体" w:cs="Times New Roman"/>
          <w:b w:val="0"/>
          <w:bCs w:val="0"/>
          <w:sz w:val="32"/>
          <w:szCs w:val="32"/>
        </w:rPr>
        <w:t>2026年9月2</w:t>
      </w:r>
      <w:r>
        <w:rPr>
          <w:rFonts w:hint="eastAsia" w:ascii="Times New Roman" w:hAnsi="Times New Roman" w:eastAsia="方正仿宋简体" w:cs="Times New Roman"/>
          <w:b w:val="0"/>
          <w:bCs w:val="0"/>
          <w:sz w:val="32"/>
          <w:szCs w:val="32"/>
          <w:lang w:val="en-US" w:eastAsia="zh-CN"/>
        </w:rPr>
        <w:t>1</w:t>
      </w:r>
      <w:r>
        <w:rPr>
          <w:rFonts w:hint="default" w:ascii="Times New Roman" w:hAnsi="Times New Roman" w:eastAsia="方正仿宋简体" w:cs="Times New Roman"/>
          <w:b w:val="0"/>
          <w:bCs w:val="0"/>
          <w:sz w:val="32"/>
          <w:szCs w:val="32"/>
        </w:rPr>
        <w:t>日</w:t>
      </w:r>
      <w:r>
        <w:rPr>
          <w:rFonts w:hint="eastAsia" w:ascii="Times New Roman" w:hAnsi="Times New Roman" w:eastAsia="方正仿宋简体" w:cs="Times New Roman"/>
          <w:b w:val="0"/>
          <w:bCs w:val="0"/>
          <w:sz w:val="32"/>
          <w:szCs w:val="32"/>
          <w:lang w:val="en-US" w:eastAsia="zh-CN"/>
        </w:rPr>
        <w:t xml:space="preserve">        </w:t>
      </w:r>
    </w:p>
    <w:p w14:paraId="19BB0DAA">
      <w:pPr>
        <w:keepNext w:val="0"/>
        <w:keepLines w:val="0"/>
        <w:pageBreakBefore w:val="0"/>
        <w:kinsoku/>
        <w:wordWrap/>
        <w:overflowPunct/>
        <w:topLinePunct w:val="0"/>
        <w:autoSpaceDE/>
        <w:autoSpaceDN/>
        <w:bidi w:val="0"/>
        <w:adjustRightInd/>
        <w:snapToGrid/>
        <w:spacing w:beforeAutospacing="0" w:afterAutospacing="0" w:line="576" w:lineRule="exact"/>
        <w:ind w:firstLine="632" w:firstLineChars="200"/>
        <w:jc w:val="both"/>
        <w:textAlignment w:val="auto"/>
        <w:rPr>
          <w:rFonts w:hint="default" w:ascii="Times New Roman" w:hAnsi="Times New Roman" w:eastAsia="方正仿宋简体" w:cs="Times New Roman"/>
          <w:b w:val="0"/>
          <w:bCs w:val="0"/>
          <w:sz w:val="32"/>
          <w:szCs w:val="32"/>
        </w:rPr>
      </w:pPr>
      <w:bookmarkStart w:id="0" w:name="_GoBack"/>
      <w:bookmarkEnd w:id="0"/>
    </w:p>
    <w:sectPr>
      <w:footerReference r:id="rId3" w:type="default"/>
      <w:footerReference r:id="rId4" w:type="even"/>
      <w:pgSz w:w="11906" w:h="16838"/>
      <w:pgMar w:top="2098" w:right="1474" w:bottom="1984" w:left="1587" w:header="851" w:footer="1587" w:gutter="0"/>
      <w:pgNumType w:fmt="decimal"/>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1" w:fontKey="{57ACD9F6-64A2-4760-8986-557E5E949718}"/>
  </w:font>
  <w:font w:name="方正仿宋简体">
    <w:panose1 w:val="02000000000000000000"/>
    <w:charset w:val="86"/>
    <w:family w:val="auto"/>
    <w:pitch w:val="default"/>
    <w:sig w:usb0="A00002BF" w:usb1="184F6CFA" w:usb2="00000012" w:usb3="00000000" w:csb0="00040001" w:csb1="00000000"/>
    <w:embedRegular r:id="rId2" w:fontKey="{8029029D-C5D6-499B-8A29-8F6AC9B0C230}"/>
  </w:font>
  <w:font w:name="方正黑体简体">
    <w:panose1 w:val="02000000000000000000"/>
    <w:charset w:val="86"/>
    <w:family w:val="auto"/>
    <w:pitch w:val="default"/>
    <w:sig w:usb0="A00002BF" w:usb1="184F6CFA" w:usb2="00000012" w:usb3="00000000" w:csb0="00040001" w:csb1="00000000"/>
    <w:embedRegular r:id="rId3" w:fontKey="{E9BE691D-77ED-46A9-A9BD-24473C4190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8325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3DCE35">
                          <w:pPr>
                            <w:pStyle w:val="4"/>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1</w:t>
                          </w:r>
                          <w:r>
                            <w:rPr>
                              <w:sz w:val="28"/>
                              <w:szCs w:val="44"/>
                            </w:rPr>
                            <w:fldChar w:fldCharType="end"/>
                          </w:r>
                          <w:r>
                            <w:rPr>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3DCE35">
                    <w:pPr>
                      <w:pStyle w:val="4"/>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1</w:t>
                    </w:r>
                    <w:r>
                      <w:rPr>
                        <w:sz w:val="28"/>
                        <w:szCs w:val="44"/>
                      </w:rPr>
                      <w:fldChar w:fldCharType="end"/>
                    </w:r>
                    <w:r>
                      <w:rPr>
                        <w:sz w:val="28"/>
                        <w:szCs w:val="4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23437">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9620BF">
                          <w:pPr>
                            <w:pStyle w:val="4"/>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79620BF">
                    <w:pPr>
                      <w:pStyle w:val="4"/>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9873A3"/>
    <w:rsid w:val="2D2E7298"/>
    <w:rsid w:val="5ED10C4F"/>
    <w:rsid w:val="5F5C7C4B"/>
    <w:rsid w:val="74D520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613</Words>
  <Characters>622</Characters>
  <Lines>0</Lines>
  <Paragraphs>0</Paragraphs>
  <TotalTime>3</TotalTime>
  <ScaleCrop>false</ScaleCrop>
  <LinksUpToDate>false</LinksUpToDate>
  <CharactersWithSpaces>622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2026-07-20T10:41:00Z</dcterms:created>
  <dc:creator>admin</dc:creator>
  <cp:lastModifiedBy>胡李鸿</cp:lastModifiedBy>
  <cp:lastPrinted>2026-09-20T02:40:00Z</cp:lastPrinted>
  <dcterms:modified xsi:type="dcterms:W3CDTF">2026-09-21T02:55:46Z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7750F6C29CAC459B84C940A42EA3B54F_12</vt:lpwstr>
  </property>
  <property fmtid="{D5CDD505-2E9C-101B-9397-08002B2CF9AE}" pid="4" name="KSOTemplateDocerSaveRecord">
    <vt:lpwstr>eyJoZGlkIjoiNGY3NzNkMzgxYWI1M2Q4YzYxOGIwMzlmMzk3NTE2YjIiLCJ1c2VySWQiOiIxNjg1NTUyODA1In0=</vt:lpwstr>
  </property>
</Properties>
</file>