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AEAB1">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那曲市生态环境保护专家库管理办法</w:t>
      </w:r>
    </w:p>
    <w:p w14:paraId="43B937B0">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（征求意见稿）</w:t>
      </w:r>
    </w:p>
    <w:p w14:paraId="41E07EE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p>
    <w:p w14:paraId="57D31DD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center"/>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第一章总则</w:t>
      </w:r>
    </w:p>
    <w:p w14:paraId="77CA9D6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第一条</w:t>
      </w:r>
      <w:r>
        <w:rPr>
          <w:rFonts w:hint="eastAsia" w:ascii="Times New Roman" w:hAnsi="Times New Roman" w:eastAsia="方正仿宋简体" w:cs="Times New Roman"/>
          <w:b/>
          <w:bCs/>
          <w:sz w:val="32"/>
          <w:szCs w:val="32"/>
          <w:lang w:val="en-US" w:eastAsia="zh-CN"/>
        </w:rPr>
        <w:t xml:space="preserve">  </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制定目的及依据</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val="0"/>
          <w:bCs w:val="0"/>
          <w:sz w:val="32"/>
          <w:szCs w:val="32"/>
        </w:rPr>
        <w:t>为规范那曲市生态环境保护专家库建设、使用与监督管理，充分发挥专家在环境影响评价技术审查、生态环境损害赔偿鉴定评估、突发环境事件应急处置、高原生态修复、污染治理技术论证、环境风险隐患排查等工作中的技术支撑作用，保障技术咨询、</w:t>
      </w:r>
      <w:bookmarkStart w:id="0" w:name="_GoBack"/>
      <w:bookmarkEnd w:id="0"/>
      <w:r>
        <w:rPr>
          <w:rFonts w:hint="default" w:ascii="Times New Roman" w:hAnsi="Times New Roman" w:eastAsia="方正仿宋简体" w:cs="Times New Roman"/>
          <w:b w:val="0"/>
          <w:bCs w:val="0"/>
          <w:sz w:val="32"/>
          <w:szCs w:val="32"/>
        </w:rPr>
        <w:t>评审评估工作科学、客观、公正，筑牢那曲高原生态安全屏障。依据《中华人民共和国</w:t>
      </w:r>
      <w:r>
        <w:rPr>
          <w:rFonts w:hint="eastAsia" w:ascii="Times New Roman" w:hAnsi="Times New Roman" w:eastAsia="方正仿宋简体" w:cs="Times New Roman"/>
          <w:b w:val="0"/>
          <w:bCs w:val="0"/>
          <w:sz w:val="32"/>
          <w:szCs w:val="32"/>
          <w:lang w:val="en-US" w:eastAsia="zh-CN"/>
        </w:rPr>
        <w:t>生态环境法典</w:t>
      </w:r>
      <w:r>
        <w:rPr>
          <w:rFonts w:hint="default" w:ascii="Times New Roman" w:hAnsi="Times New Roman" w:eastAsia="方正仿宋简体" w:cs="Times New Roman"/>
          <w:b w:val="0"/>
          <w:bCs w:val="0"/>
          <w:sz w:val="32"/>
          <w:szCs w:val="32"/>
        </w:rPr>
        <w:t>》《生态环境损害赔偿管理规定》，参照《西藏自治区生态环境厅建设项目环境影响评价文件技术评估专家库管理办法》（藏环发〔2024〕81号）及相关法规制度，结合那曲市高寒高原地域特点和技术力量实际，制定本办法。</w:t>
      </w:r>
    </w:p>
    <w:p w14:paraId="6257117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第二条</w:t>
      </w:r>
      <w:r>
        <w:rPr>
          <w:rFonts w:hint="eastAsia" w:ascii="Times New Roman" w:hAnsi="Times New Roman" w:eastAsia="方正仿宋简体" w:cs="Times New Roman"/>
          <w:b/>
          <w:bCs/>
          <w:sz w:val="32"/>
          <w:szCs w:val="32"/>
          <w:lang w:val="en-US" w:eastAsia="zh-CN"/>
        </w:rPr>
        <w:t xml:space="preserve">  </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适用范围</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val="0"/>
          <w:bCs w:val="0"/>
          <w:sz w:val="32"/>
          <w:szCs w:val="32"/>
        </w:rPr>
        <w:t>本办法适用于那曲市生态环境保护专家库（以下简称</w:t>
      </w:r>
      <w:r>
        <w:rPr>
          <w:rFonts w:hint="eastAsia" w:ascii="Times New Roman" w:hAnsi="Times New Roman" w:eastAsia="方正仿宋简体" w:cs="Times New Roman"/>
          <w:b w:val="0"/>
          <w:bCs w:val="0"/>
          <w:sz w:val="32"/>
          <w:szCs w:val="32"/>
          <w:lang w:eastAsia="zh-CN"/>
        </w:rPr>
        <w:t>“</w:t>
      </w:r>
      <w:r>
        <w:rPr>
          <w:rFonts w:hint="default" w:ascii="Times New Roman" w:hAnsi="Times New Roman" w:eastAsia="方正仿宋简体" w:cs="Times New Roman"/>
          <w:b w:val="0"/>
          <w:bCs w:val="0"/>
          <w:sz w:val="32"/>
          <w:szCs w:val="32"/>
        </w:rPr>
        <w:t>市专家库</w:t>
      </w:r>
      <w:r>
        <w:rPr>
          <w:rFonts w:hint="eastAsia" w:ascii="Times New Roman" w:hAnsi="Times New Roman" w:eastAsia="方正仿宋简体" w:cs="Times New Roman"/>
          <w:b w:val="0"/>
          <w:bCs w:val="0"/>
          <w:sz w:val="32"/>
          <w:szCs w:val="32"/>
          <w:lang w:eastAsia="zh-CN"/>
        </w:rPr>
        <w:t>”</w:t>
      </w:r>
      <w:r>
        <w:rPr>
          <w:rFonts w:hint="default" w:ascii="Times New Roman" w:hAnsi="Times New Roman" w:eastAsia="方正仿宋简体" w:cs="Times New Roman"/>
          <w:b w:val="0"/>
          <w:bCs w:val="0"/>
          <w:sz w:val="32"/>
          <w:szCs w:val="32"/>
        </w:rPr>
        <w:t>）专家遴选入库、权利义务、抽取使用、考核评价、出库退出、档案痕迹全流程管理。</w:t>
      </w:r>
    </w:p>
    <w:p w14:paraId="7B6A9FB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各县（区）生态环境部门开展生态环境技术咨询、评审评估、应急处置工作，应当优先从市专家库选取专家。</w:t>
      </w:r>
    </w:p>
    <w:p w14:paraId="2EE7BCD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第三条</w:t>
      </w:r>
      <w:r>
        <w:rPr>
          <w:rFonts w:hint="eastAsia" w:ascii="Times New Roman" w:hAnsi="Times New Roman" w:eastAsia="方正仿宋简体" w:cs="Times New Roman"/>
          <w:b/>
          <w:bCs/>
          <w:sz w:val="32"/>
          <w:szCs w:val="32"/>
          <w:lang w:val="en-US" w:eastAsia="zh-CN"/>
        </w:rPr>
        <w:t xml:space="preserve">  </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职责分工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val="0"/>
          <w:bCs w:val="0"/>
          <w:sz w:val="32"/>
          <w:szCs w:val="32"/>
        </w:rPr>
        <w:t>那曲市生态环境局是市专家库主管部门，负责专家库管理制度制定、专家入库审定、监督考核等工作。</w:t>
      </w:r>
    </w:p>
    <w:p w14:paraId="60DA1AF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那曲市环境工程评估中心承担专家库日常运行管理具体工作，主要负责专家申报受理、资格初审、专家选取组织、日常考核评价、专家信息维护、痕迹档案留存管理，统筹做好生态环境损害赔偿鉴定评估、环境应急事件的专家联络调度工作。</w:t>
      </w:r>
    </w:p>
    <w:p w14:paraId="060A1C7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各县（区）生态环境局配合做好专家使用情况反馈、问题线索报送等相关工作。</w:t>
      </w:r>
    </w:p>
    <w:p w14:paraId="53FB890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第四条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管理原则</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专家库坚持公开征集、择优遴选、分类管理、随机抽取、动态调整、全程留痕的管理原则。</w:t>
      </w:r>
    </w:p>
    <w:p w14:paraId="57DBA52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结合我市高层次本地技术人才总量不足、部分专业人才缺口较大、外聘专家往返路途远、交通成本高的现实情况，专家库注重挖掘本地专业人才、拓宽外部专家储备渠道，可综合采取现场评审、视频评审、函审等多种方式组织开展技术工作。</w:t>
      </w:r>
    </w:p>
    <w:p w14:paraId="567FFF2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第二章专家遴选与入库</w:t>
      </w:r>
    </w:p>
    <w:p w14:paraId="1E4EEC3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eastAsia" w:ascii="Times New Roman" w:hAnsi="Times New Roman" w:eastAsia="方正仿宋简体" w:cs="Times New Roman"/>
          <w:b w:val="0"/>
          <w:bCs w:val="0"/>
          <w:kern w:val="0"/>
          <w:sz w:val="32"/>
          <w:szCs w:val="32"/>
          <w:lang w:val="en-US" w:eastAsia="zh-CN" w:bidi="ar"/>
        </w:rPr>
        <w:t>第五条</w:t>
      </w:r>
      <w:r>
        <w:rPr>
          <w:rFonts w:hint="eastAsia" w:ascii="Times New Roman" w:hAnsi="Times New Roman" w:eastAsia="方正仿宋简体" w:cs="Times New Roman"/>
          <w:b/>
          <w:bCs/>
          <w:sz w:val="32"/>
          <w:szCs w:val="32"/>
          <w:lang w:val="en-US" w:eastAsia="zh-CN"/>
        </w:rPr>
        <w:t xml:space="preserve"> </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入库基本条件</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val="0"/>
          <w:bCs w:val="0"/>
          <w:sz w:val="32"/>
          <w:szCs w:val="32"/>
        </w:rPr>
        <w:t>入选市专家库专家，应当同时满足下列基本条件：</w:t>
      </w:r>
    </w:p>
    <w:p w14:paraId="5CAB694B">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（一）拥护党的领导，作风正派，廉洁自律，恪守科学职业道德，无生态环境领域失信、违纪违法相关记录；</w:t>
      </w:r>
    </w:p>
    <w:p w14:paraId="3E3E2E9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（二）熟练掌握生态环境保护相关法律、法规、政策、标准规范，熟悉那曲高寒高原生态环境基本特征；</w:t>
      </w:r>
    </w:p>
    <w:p w14:paraId="7DBA4262">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（三）身体健康，能够胜任评审会议、现场踏勘、应急处置、技术研判等相关工作任务；</w:t>
      </w:r>
    </w:p>
    <w:p w14:paraId="630237A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（四）具备下列专业资质条件之一：</w:t>
      </w:r>
    </w:p>
    <w:p w14:paraId="27BD97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0" w:leftChars="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kern w:val="2"/>
          <w:sz w:val="32"/>
          <w:szCs w:val="32"/>
          <w:lang w:val="en-US" w:eastAsia="zh-CN" w:bidi="ar-SA"/>
        </w:rPr>
        <w:t>1.</w:t>
      </w:r>
      <w:r>
        <w:rPr>
          <w:rFonts w:hint="default" w:ascii="Times New Roman" w:hAnsi="Times New Roman" w:eastAsia="方正仿宋简体" w:cs="Times New Roman"/>
          <w:b w:val="0"/>
          <w:bCs w:val="0"/>
          <w:sz w:val="32"/>
          <w:szCs w:val="32"/>
        </w:rPr>
        <w:t>具有高级及以上相关专业技术职称；</w:t>
      </w:r>
    </w:p>
    <w:p w14:paraId="00255B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0" w:leftChars="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kern w:val="2"/>
          <w:sz w:val="32"/>
          <w:szCs w:val="32"/>
          <w:lang w:val="en-US" w:eastAsia="zh-CN" w:bidi="ar-SA"/>
        </w:rPr>
        <w:t>2.</w:t>
      </w:r>
      <w:r>
        <w:rPr>
          <w:rFonts w:hint="default" w:ascii="Times New Roman" w:hAnsi="Times New Roman" w:eastAsia="方正仿宋简体" w:cs="Times New Roman"/>
          <w:b w:val="0"/>
          <w:bCs w:val="0"/>
          <w:sz w:val="32"/>
          <w:szCs w:val="32"/>
        </w:rPr>
        <w:t>持有环境影响评价工程师、注册环保工程师、生态环境损害司法鉴定人等生态环境相关职业资格；</w:t>
      </w:r>
    </w:p>
    <w:p w14:paraId="788B9D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0" w:leftChars="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kern w:val="2"/>
          <w:sz w:val="32"/>
          <w:szCs w:val="32"/>
          <w:lang w:val="en-US" w:eastAsia="zh-CN" w:bidi="ar-SA"/>
        </w:rPr>
        <w:t>3.</w:t>
      </w:r>
      <w:r>
        <w:rPr>
          <w:rFonts w:hint="default" w:ascii="Times New Roman" w:hAnsi="Times New Roman" w:eastAsia="方正仿宋简体" w:cs="Times New Roman"/>
          <w:b w:val="0"/>
          <w:bCs w:val="0"/>
          <w:sz w:val="32"/>
          <w:szCs w:val="32"/>
        </w:rPr>
        <w:t>本市生态环境系统事业单位工作人员，具有中级及以上技术职称，从事对应专业领域工作满5年以上；</w:t>
      </w:r>
    </w:p>
    <w:p w14:paraId="3A2582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76" w:lineRule="exact"/>
        <w:ind w:left="0" w:leftChars="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kern w:val="2"/>
          <w:sz w:val="32"/>
          <w:szCs w:val="32"/>
          <w:lang w:val="en-US" w:eastAsia="zh-CN" w:bidi="ar-SA"/>
        </w:rPr>
        <w:t>4.</w:t>
      </w:r>
      <w:r>
        <w:rPr>
          <w:rFonts w:hint="default" w:ascii="Times New Roman" w:hAnsi="Times New Roman" w:eastAsia="方正仿宋简体" w:cs="Times New Roman"/>
          <w:b w:val="0"/>
          <w:bCs w:val="0"/>
          <w:sz w:val="32"/>
          <w:szCs w:val="32"/>
        </w:rPr>
        <w:t>在高原生态修复、污染防治、环境应急等相关行业具有15年以上丰富管理或者技术实践经验。</w:t>
      </w:r>
    </w:p>
    <w:p w14:paraId="3D215B6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第六条</w:t>
      </w:r>
      <w:r>
        <w:rPr>
          <w:rFonts w:hint="eastAsia" w:ascii="Times New Roman" w:hAnsi="Times New Roman" w:eastAsia="方正仿宋简体" w:cs="Times New Roman"/>
          <w:b/>
          <w:bCs/>
          <w:sz w:val="32"/>
          <w:szCs w:val="32"/>
          <w:lang w:val="en-US" w:eastAsia="zh-CN"/>
        </w:rPr>
        <w:t xml:space="preserve">  </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征集与申报</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val="0"/>
          <w:bCs w:val="0"/>
          <w:sz w:val="32"/>
          <w:szCs w:val="32"/>
        </w:rPr>
        <w:t>专家入库采取公开征集、个人申请与单位推荐相结合的方式。</w:t>
      </w:r>
    </w:p>
    <w:p w14:paraId="752CC57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市生态环境局适时发布专家征集</w:t>
      </w:r>
      <w:r>
        <w:rPr>
          <w:rFonts w:hint="eastAsia" w:ascii="Times New Roman" w:hAnsi="Times New Roman" w:eastAsia="方正仿宋简体" w:cs="Times New Roman"/>
          <w:b w:val="0"/>
          <w:bCs w:val="0"/>
          <w:sz w:val="32"/>
          <w:szCs w:val="32"/>
          <w:lang w:val="en-US" w:eastAsia="zh-CN"/>
        </w:rPr>
        <w:t>或更新</w:t>
      </w:r>
      <w:r>
        <w:rPr>
          <w:rFonts w:hint="default" w:ascii="Times New Roman" w:hAnsi="Times New Roman" w:eastAsia="方正仿宋简体" w:cs="Times New Roman"/>
          <w:b w:val="0"/>
          <w:bCs w:val="0"/>
          <w:sz w:val="32"/>
          <w:szCs w:val="32"/>
        </w:rPr>
        <w:t>通知，明确申报范围、专业类别、申报材料等相关要求。申报人员应当如实提交专家信息登记表、身份证、学历证明、职称证书、职业资格证书、从业业绩证明等佐证材料，所在单位应当对申报材料真实性进行审核并加盖公章。</w:t>
      </w:r>
    </w:p>
    <w:p w14:paraId="3117A2E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申报人员未按要求提交职称、执业资格等资质佐证材料，无法证明符合入库资质条件的，不予进入候选名单。</w:t>
      </w:r>
    </w:p>
    <w:p w14:paraId="65DA0C1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第七条</w:t>
      </w:r>
      <w:r>
        <w:rPr>
          <w:rFonts w:hint="eastAsia" w:ascii="Times New Roman" w:hAnsi="Times New Roman" w:eastAsia="方正仿宋简体" w:cs="Times New Roman"/>
          <w:b/>
          <w:bCs/>
          <w:sz w:val="32"/>
          <w:szCs w:val="32"/>
          <w:lang w:val="en-US" w:eastAsia="zh-CN"/>
        </w:rPr>
        <w:t xml:space="preserve">  </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资格审核、公示与入库</w:t>
      </w:r>
      <w:r>
        <w:rPr>
          <w:rFonts w:hint="eastAsia" w:ascii="Times New Roman" w:hAnsi="Times New Roman" w:eastAsia="方正仿宋简体" w:cs="Times New Roman"/>
          <w:b/>
          <w:bCs/>
          <w:sz w:val="32"/>
          <w:szCs w:val="32"/>
          <w:lang w:eastAsia="zh-CN"/>
        </w:rPr>
        <w:t>】</w:t>
      </w:r>
    </w:p>
    <w:p w14:paraId="5BDE724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（一）那曲市环境工程评估中心负责开展申报材料资格初审，逐项核验申报材料完整性、资质条件合规性；</w:t>
      </w:r>
    </w:p>
    <w:p w14:paraId="3FAB4ED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（二）初审合格后形成拟入库专家名单，在官方新媒体平台予以公示，公示期不少于5个工作日。公示期间收到举报线索的，应当及时组织核查；</w:t>
      </w:r>
    </w:p>
    <w:p w14:paraId="5369A9A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（三）公示无异议或者核查后不影响入库资格的，报请那曲市生态环境局审定后正式纳入专家库，建立专家个人档案。</w:t>
      </w:r>
    </w:p>
    <w:p w14:paraId="7713BAF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已入选生态环境部或者自治区生态环境影响评价专家库的人员，符合本办法第五条规定条件的，可简化审核流程入库。</w:t>
      </w:r>
    </w:p>
    <w:p w14:paraId="2ECD8B1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第八条</w:t>
      </w:r>
      <w:r>
        <w:rPr>
          <w:rFonts w:hint="eastAsia" w:ascii="Times New Roman" w:hAnsi="Times New Roman" w:eastAsia="方正仿宋简体" w:cs="Times New Roman"/>
          <w:b/>
          <w:bCs/>
          <w:sz w:val="32"/>
          <w:szCs w:val="32"/>
          <w:lang w:val="en-US" w:eastAsia="zh-CN"/>
        </w:rPr>
        <w:t xml:space="preserve">  </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bCs/>
          <w:sz w:val="32"/>
          <w:szCs w:val="32"/>
        </w:rPr>
        <w:t>专业分类</w:t>
      </w:r>
      <w:r>
        <w:rPr>
          <w:rFonts w:hint="eastAsia" w:ascii="Times New Roman" w:hAnsi="Times New Roman" w:eastAsia="方正仿宋简体" w:cs="Times New Roman"/>
          <w:b/>
          <w:bCs/>
          <w:sz w:val="32"/>
          <w:szCs w:val="32"/>
          <w:lang w:eastAsia="zh-CN"/>
        </w:rPr>
        <w:t>】</w:t>
      </w:r>
      <w:r>
        <w:rPr>
          <w:rFonts w:hint="default" w:ascii="Times New Roman" w:hAnsi="Times New Roman" w:eastAsia="方正仿宋简体" w:cs="Times New Roman"/>
          <w:b w:val="0"/>
          <w:bCs w:val="0"/>
          <w:sz w:val="32"/>
          <w:szCs w:val="32"/>
        </w:rPr>
        <w:t>市专家库按照业务领域划分为环境影响评价、生态环境损害鉴定评估、高原生态修复、污染防治、环境应急处置、环境监测、</w:t>
      </w:r>
      <w:r>
        <w:rPr>
          <w:rFonts w:hint="default" w:ascii="Times New Roman" w:hAnsi="Times New Roman" w:eastAsia="方正仿宋简体" w:cs="Times New Roman"/>
          <w:b/>
          <w:bCs/>
          <w:sz w:val="32"/>
          <w:szCs w:val="32"/>
        </w:rPr>
        <w:t>土壤固废、水大气环境、</w:t>
      </w:r>
      <w:r>
        <w:rPr>
          <w:rFonts w:hint="default" w:ascii="Times New Roman" w:hAnsi="Times New Roman" w:eastAsia="方正仿宋简体" w:cs="Times New Roman"/>
          <w:b w:val="0"/>
          <w:bCs w:val="0"/>
          <w:sz w:val="32"/>
          <w:szCs w:val="32"/>
        </w:rPr>
        <w:t>噪声振动等专业组别，实行分类管理、分类调取。</w:t>
      </w:r>
    </w:p>
    <w:p w14:paraId="4157266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第九条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动态更新机制</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专家库实行动态管理，原则上每</w:t>
      </w:r>
      <w:r>
        <w:rPr>
          <w:rFonts w:hint="eastAsia" w:ascii="Times New Roman" w:hAnsi="Times New Roman" w:eastAsia="方正仿宋简体" w:cs="Times New Roman"/>
          <w:b w:val="0"/>
          <w:bCs w:val="0"/>
          <w:sz w:val="32"/>
          <w:szCs w:val="32"/>
          <w:lang w:val="en-US" w:eastAsia="zh-CN"/>
        </w:rPr>
        <w:t>3</w:t>
      </w:r>
      <w:r>
        <w:rPr>
          <w:rFonts w:hint="default" w:ascii="Times New Roman" w:hAnsi="Times New Roman" w:eastAsia="方正仿宋简体" w:cs="Times New Roman"/>
          <w:b w:val="0"/>
          <w:bCs w:val="0"/>
          <w:sz w:val="32"/>
          <w:szCs w:val="32"/>
        </w:rPr>
        <w:t>年集中开展一次专家库更新补充工作；专家出库清理工作每</w:t>
      </w:r>
      <w:r>
        <w:rPr>
          <w:rFonts w:hint="eastAsia" w:ascii="Times New Roman" w:hAnsi="Times New Roman" w:eastAsia="方正仿宋简体" w:cs="Times New Roman"/>
          <w:b w:val="0"/>
          <w:bCs w:val="0"/>
          <w:sz w:val="32"/>
          <w:szCs w:val="32"/>
          <w:lang w:val="en-US" w:eastAsia="zh-CN"/>
        </w:rPr>
        <w:t>2</w:t>
      </w:r>
      <w:r>
        <w:rPr>
          <w:rFonts w:hint="default" w:ascii="Times New Roman" w:hAnsi="Times New Roman" w:eastAsia="方正仿宋简体" w:cs="Times New Roman"/>
          <w:b w:val="0"/>
          <w:bCs w:val="0"/>
          <w:sz w:val="32"/>
          <w:szCs w:val="32"/>
        </w:rPr>
        <w:t>年开展一次。除集中征集外，日常受理符合条件人员入库申报。</w:t>
      </w:r>
    </w:p>
    <w:p w14:paraId="63BE6DC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第十条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年龄限制</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专家年龄达到70周岁的，原则上自动退出专家库。属于高原生态环境领域稀缺专业人才，本人自愿申请、身体条件能够胜任相关工作，经市生态环境局集体研究同意，可予以延聘。</w:t>
      </w:r>
    </w:p>
    <w:p w14:paraId="23A2724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第三章专家权利与义务</w:t>
      </w:r>
    </w:p>
    <w:p w14:paraId="14A6A89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第十一条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专家权利</w:t>
      </w:r>
      <w:r>
        <w:rPr>
          <w:rFonts w:hint="eastAsia" w:ascii="Times New Roman" w:hAnsi="Times New Roman" w:eastAsia="方正仿宋简体" w:cs="Times New Roman"/>
          <w:b/>
          <w:bCs/>
          <w:sz w:val="32"/>
          <w:szCs w:val="32"/>
          <w:lang w:val="en-US" w:eastAsia="zh-CN"/>
        </w:rPr>
        <w:t>】</w:t>
      </w:r>
    </w:p>
    <w:p w14:paraId="6D3EB77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（一）对所承担的评审、评估、应急研判工作涉及的项目材料、背景情况享有知情权；</w:t>
      </w:r>
    </w:p>
    <w:p w14:paraId="63C5BE6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（二）开展技术评估工作过程中，独立发表个人技术意见，不受任何单位或者个人干预；</w:t>
      </w:r>
    </w:p>
    <w:p w14:paraId="747033B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（三）结合自身工作安排、健康状况，有权申明拒绝不适宜承担的评审、踏勘任务；遇突发环境事件应急任务，除存在客观重大障碍外，应当积极配合参与；</w:t>
      </w:r>
    </w:p>
    <w:p w14:paraId="12A91FE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（四）完成工作任务后，按照相关规定获取专家劳务咨询及差旅相关费用；</w:t>
      </w:r>
    </w:p>
    <w:p w14:paraId="26220F3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（五）可以直接向那曲市生态环境局、那曲市环境工程评估中心反馈专家使用及专家库运行相关情况，提出意见建议。</w:t>
      </w:r>
    </w:p>
    <w:p w14:paraId="095F45B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第十二条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专家义务</w:t>
      </w:r>
      <w:r>
        <w:rPr>
          <w:rFonts w:hint="eastAsia" w:ascii="Times New Roman" w:hAnsi="Times New Roman" w:eastAsia="方正仿宋简体" w:cs="Times New Roman"/>
          <w:b/>
          <w:bCs/>
          <w:sz w:val="32"/>
          <w:szCs w:val="32"/>
          <w:lang w:val="en-US" w:eastAsia="zh-CN"/>
        </w:rPr>
        <w:t>】</w:t>
      </w:r>
    </w:p>
    <w:p w14:paraId="4EE53115">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一）认真履行专家职责，提前阅研相关工作材料，严格依据法律法规、政策标准、技术规范开展工作，提出意见应当充分结合那曲高原生态环境实际，保证意见客观、公正、具体，具备针对性与可操作性，在规定时限内完成工作。对本人出具的评审、鉴定、应急研判意见负责，对本人所负责专业领域出具的技术意见承担相应技术责任。</w:t>
      </w:r>
    </w:p>
    <w:p w14:paraId="26EF5E6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（二）严格遵守回避制度，与评估工作存在利害关系的，应当主动提出回避。</w:t>
      </w:r>
    </w:p>
    <w:p w14:paraId="1E9D93F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（三）严格遵守保密纪律，不得泄露评审材料、商业秘密、项目涉密信息、突发环境事件未公开工作情报。</w:t>
      </w:r>
    </w:p>
    <w:p w14:paraId="6D727E9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（四）按时参加评审会议、现场踏勘等工作；无法按时参加任务的，应当提前向组织单位说明情况。</w:t>
      </w:r>
    </w:p>
    <w:p w14:paraId="430C57C2">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（五）及时更新本人职称、工作岗位、联系方式等个人信息，配合专家库考核及日常管理。</w:t>
      </w:r>
    </w:p>
    <w:p w14:paraId="787FB90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（六）承担生态环境损害赔偿、环境应急处置任务时，服从现场统一调度，恪守工作纪律。</w:t>
      </w:r>
    </w:p>
    <w:p w14:paraId="1F25672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第四章专家选取与使用</w:t>
      </w:r>
    </w:p>
    <w:p w14:paraId="12507A6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第十三条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专家选取规则</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开展各类技术评审、评估、研判工作，应当结合项目、事件涉及的行业、专业，从市专家库对应专业组别中随机选取专家。</w:t>
      </w:r>
    </w:p>
    <w:p w14:paraId="724279C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涉及报告书类重大项目，可由那曲市环境工程评估中心部门主要负责人和项目负责人集体决策排序确定专家；同类项目打包组织评估的，可使用同一批专家组。</w:t>
      </w:r>
    </w:p>
    <w:p w14:paraId="735492A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开展技术工作，市专家库对应专业合适专家数量不足的，经履行审批程序后，可特邀外部专家参与，特邀专家人数原则上不超过专家组总人数三分之一。</w:t>
      </w:r>
    </w:p>
    <w:p w14:paraId="5E2F70C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突发环境事件应急处置可简化专家抽取流程，直接调用库内专家开展远程会商、电话研判或者现场技术处置。</w:t>
      </w:r>
    </w:p>
    <w:p w14:paraId="2246B682">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eastAsia" w:ascii="Times New Roman" w:hAnsi="Times New Roman" w:eastAsia="方正仿宋简体" w:cs="Times New Roman"/>
          <w:b w:val="0"/>
          <w:bCs w:val="0"/>
          <w:kern w:val="0"/>
          <w:sz w:val="32"/>
          <w:szCs w:val="32"/>
          <w:lang w:val="en-US" w:eastAsia="zh-CN" w:bidi="ar"/>
        </w:rPr>
        <w:t>第十四条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回避要求</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专家存在下列利害关系情形之一的，应当主动申请回避：</w:t>
      </w:r>
    </w:p>
    <w:p w14:paraId="40216F6A">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（一）近3年内与项目建设单位、技术文件编制单位存在技术合作、技术服务关系；</w:t>
      </w:r>
    </w:p>
    <w:p w14:paraId="5ED748F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（二）本人或者近亲属与项目存在直接经济利益关系；</w:t>
      </w:r>
    </w:p>
    <w:p w14:paraId="3CE514D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（三）其他可能影响公正履职的利害关系。</w:t>
      </w:r>
    </w:p>
    <w:p w14:paraId="163A4BA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组织单位在邀请专家时应当明确告知回避相关制度，落实专家回避承诺。</w:t>
      </w:r>
    </w:p>
    <w:p w14:paraId="4C41E1C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第十五条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组织实施形式</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结合我市地域辽阔、各县区间距离较远、交通条件有限的实际，技术工作可采取现场会议评审、视频评审、书面函审等形式。中小型项目优先采用函审、视频评审；重大环评项目、生态环境损害赔偿调查评估、重大突发环境事件处置，条件具备的优先组织现场踏勘。</w:t>
      </w:r>
    </w:p>
    <w:p w14:paraId="0D4EB5C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default" w:ascii="Times New Roman" w:hAnsi="Times New Roman" w:eastAsia="方正仿宋简体" w:cs="Times New Roman"/>
          <w:b w:val="0"/>
          <w:bCs w:val="0"/>
          <w:sz w:val="32"/>
          <w:szCs w:val="32"/>
        </w:rPr>
      </w:pPr>
      <w:r>
        <w:rPr>
          <w:rFonts w:hint="eastAsia" w:ascii="方正黑体简体" w:hAnsi="方正黑体简体" w:eastAsia="方正黑体简体" w:cs="方正黑体简体"/>
          <w:b w:val="0"/>
          <w:bCs w:val="0"/>
          <w:sz w:val="32"/>
          <w:szCs w:val="32"/>
        </w:rPr>
        <w:t>第五章考核评价、监督与出库</w:t>
      </w:r>
    </w:p>
    <w:p w14:paraId="0F0E97C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第十六条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日常量化考核</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那曲市环境工程评估中心对专家每一次参与的评审、评估、应急研判任务开展日常量化赋分考核。考核覆盖环境影响评价、生态环境损害赔偿、环境应急处置等各类任务履职情况。</w:t>
      </w:r>
    </w:p>
    <w:p w14:paraId="1D0B43B9">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考核主要包括业务水平、工作态度、纪律执行三大维度，重点审查专家意见是否贴合高原项目实际、意见是否具备可操作性，是否按时提交审查意见，是否独立出具技术意见，是否落实回避、保密、参会履约相关要求。考核结果划分为优秀、良好、合格、</w:t>
      </w:r>
      <w:r>
        <w:rPr>
          <w:rFonts w:hint="eastAsia" w:ascii="Times New Roman" w:hAnsi="Times New Roman" w:eastAsia="方正仿宋简体" w:cs="Times New Roman"/>
          <w:b w:val="0"/>
          <w:bCs w:val="0"/>
          <w:sz w:val="32"/>
          <w:szCs w:val="32"/>
          <w:lang w:val="en-US" w:eastAsia="zh-CN"/>
        </w:rPr>
        <w:t>不合格</w:t>
      </w:r>
      <w:r>
        <w:rPr>
          <w:rFonts w:hint="default" w:ascii="Times New Roman" w:hAnsi="Times New Roman" w:eastAsia="方正仿宋简体" w:cs="Times New Roman"/>
          <w:b w:val="0"/>
          <w:bCs w:val="0"/>
          <w:sz w:val="32"/>
          <w:szCs w:val="32"/>
        </w:rPr>
        <w:t>四个等次。</w:t>
      </w:r>
    </w:p>
    <w:p w14:paraId="5720478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第十七条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考核结果运用</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建立专家考核汇总台账，日常考核优秀的专家，后续技术任务抽取可予以优先考虑；多次考核结果不合格的，对专家进行提醒约谈。</w:t>
      </w:r>
    </w:p>
    <w:p w14:paraId="27F3864A">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eastAsia" w:ascii="Times New Roman" w:hAnsi="Times New Roman" w:eastAsia="方正仿宋简体" w:cs="Times New Roman"/>
          <w:b w:val="0"/>
          <w:bCs w:val="0"/>
          <w:kern w:val="0"/>
          <w:sz w:val="32"/>
          <w:szCs w:val="32"/>
          <w:lang w:val="en-US" w:eastAsia="zh-CN" w:bidi="ar"/>
        </w:rPr>
        <w:t>第十八条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专家出库条件</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专家存在下列情形之一的，移出市专家库，自出库之日起3年内不得重新申请入库：</w:t>
      </w:r>
    </w:p>
    <w:p w14:paraId="2C5B7385">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（一）出现一次日常考核结果为差；</w:t>
      </w:r>
    </w:p>
    <w:p w14:paraId="4CE5138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（二）违反回避、保密、廉洁工作纪律；</w:t>
      </w:r>
    </w:p>
    <w:p w14:paraId="5E8DA2A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（三）在环境影响评价信用平台存在实施周期内信用记分；</w:t>
      </w:r>
    </w:p>
    <w:p w14:paraId="0FCE10A9">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（四）对负责专业把关不严，出具的技术意见存在重大疏漏，造成工作失误；</w:t>
      </w:r>
    </w:p>
    <w:p w14:paraId="6EB4D79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（五）申报入库提交虚假材料，弄虚作假；</w:t>
      </w:r>
    </w:p>
    <w:p w14:paraId="32B3A892">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（六）多次无故推诿拒绝环境应急相关任务，造成应急技术支撑缺位；</w:t>
      </w:r>
    </w:p>
    <w:p w14:paraId="5D9E25DE">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（七）本人书面申请退出专家库；</w:t>
      </w:r>
    </w:p>
    <w:p w14:paraId="45140BBB">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（八）达到自动退出年龄，未按程序办理延聘手续；</w:t>
      </w:r>
    </w:p>
    <w:p w14:paraId="4621C4B8">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76" w:lineRule="exact"/>
        <w:ind w:left="0" w:leftChars="0" w:firstLine="632" w:firstLineChars="200"/>
        <w:jc w:val="both"/>
        <w:textAlignment w:val="auto"/>
        <w:outlineLvl w:val="2"/>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val="0"/>
          <w:bCs w:val="0"/>
          <w:sz w:val="32"/>
          <w:szCs w:val="32"/>
        </w:rPr>
        <w:t>（九）存在其他不适宜继续担任专家库专家的情形。</w:t>
      </w:r>
    </w:p>
    <w:p w14:paraId="3AE0BB8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第十九条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痕迹档案管理</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专家库建立痕迹管理机制。专家入库申报、个人信息变更、专家选取结果、考核评价、出库退出全流程记录全部留痕，相关档案资料做到可查询、可追溯。</w:t>
      </w:r>
    </w:p>
    <w:p w14:paraId="7D52870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第六章</w:t>
      </w:r>
      <w:r>
        <w:rPr>
          <w:rFonts w:hint="eastAsia" w:ascii="方正黑体简体" w:hAnsi="方正黑体简体" w:eastAsia="方正黑体简体" w:cs="方正黑体简体"/>
          <w:b w:val="0"/>
          <w:bCs w:val="0"/>
          <w:sz w:val="32"/>
          <w:szCs w:val="32"/>
          <w:lang w:val="en-US" w:eastAsia="zh-CN"/>
        </w:rPr>
        <w:t xml:space="preserve">  </w:t>
      </w:r>
      <w:r>
        <w:rPr>
          <w:rFonts w:hint="eastAsia" w:ascii="方正黑体简体" w:hAnsi="方正黑体简体" w:eastAsia="方正黑体简体" w:cs="方正黑体简体"/>
          <w:b w:val="0"/>
          <w:bCs w:val="0"/>
          <w:sz w:val="32"/>
          <w:szCs w:val="32"/>
        </w:rPr>
        <w:t>保障与信息维护</w:t>
      </w:r>
    </w:p>
    <w:p w14:paraId="37DD153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第二十条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劳务保障</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专家参加评审、评估、应急技术支撑相关工作，专家劳务咨询费、差旅开支，严格按照那曲市财政相关标准执行。组织单位应当统筹评审批次，兼顾财政管理规定与专家实际出行情况。</w:t>
      </w:r>
    </w:p>
    <w:p w14:paraId="7B1BDA7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第二十一条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信息动态维护</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专家职称、工作单位、联系电话等重要信息发生变化，应当及时向那曲市环境工程评估中心报送更新；评估中心定期对库内专家信息进行核对维护。</w:t>
      </w:r>
    </w:p>
    <w:p w14:paraId="6E2A6E9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jc w:val="center"/>
        <w:textAlignment w:val="auto"/>
        <w:rPr>
          <w:rFonts w:hint="eastAsia" w:ascii="方正黑体简体" w:hAnsi="方正黑体简体" w:eastAsia="方正黑体简体" w:cs="方正黑体简体"/>
          <w:b w:val="0"/>
          <w:bCs w:val="0"/>
          <w:sz w:val="32"/>
          <w:szCs w:val="32"/>
        </w:rPr>
      </w:pPr>
      <w:r>
        <w:rPr>
          <w:rFonts w:hint="eastAsia" w:ascii="方正黑体简体" w:hAnsi="方正黑体简体" w:eastAsia="方正黑体简体" w:cs="方正黑体简体"/>
          <w:b w:val="0"/>
          <w:bCs w:val="0"/>
          <w:sz w:val="32"/>
          <w:szCs w:val="32"/>
        </w:rPr>
        <w:t>第七章</w:t>
      </w:r>
      <w:r>
        <w:rPr>
          <w:rFonts w:hint="eastAsia" w:ascii="方正黑体简体" w:hAnsi="方正黑体简体" w:eastAsia="方正黑体简体" w:cs="方正黑体简体"/>
          <w:b w:val="0"/>
          <w:bCs w:val="0"/>
          <w:sz w:val="32"/>
          <w:szCs w:val="32"/>
          <w:lang w:val="en-US" w:eastAsia="zh-CN"/>
        </w:rPr>
        <w:t xml:space="preserve">  </w:t>
      </w:r>
      <w:r>
        <w:rPr>
          <w:rFonts w:hint="eastAsia" w:ascii="方正黑体简体" w:hAnsi="方正黑体简体" w:eastAsia="方正黑体简体" w:cs="方正黑体简体"/>
          <w:b w:val="0"/>
          <w:bCs w:val="0"/>
          <w:sz w:val="32"/>
          <w:szCs w:val="32"/>
        </w:rPr>
        <w:t>附则</w:t>
      </w:r>
    </w:p>
    <w:p w14:paraId="367DA30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第二十二条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名词释义</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本办法所称生态环境保护技术工作包含建设项目环境影响报告书（表）技术评审、生态环境损害赔偿鉴定评估、生态修复方案评审、突发环境事件应急技术研判处置、高原生态修复</w:t>
      </w:r>
      <w:r>
        <w:rPr>
          <w:rFonts w:hint="eastAsia" w:ascii="Times New Roman" w:hAnsi="Times New Roman" w:eastAsia="方正仿宋简体" w:cs="Times New Roman"/>
          <w:b w:val="0"/>
          <w:bCs w:val="0"/>
          <w:sz w:val="32"/>
          <w:szCs w:val="32"/>
          <w:lang w:val="en-US" w:eastAsia="zh-CN"/>
        </w:rPr>
        <w:t>效果评估</w:t>
      </w:r>
      <w:r>
        <w:rPr>
          <w:rFonts w:hint="default" w:ascii="Times New Roman" w:hAnsi="Times New Roman" w:eastAsia="方正仿宋简体" w:cs="Times New Roman"/>
          <w:b w:val="0"/>
          <w:bCs w:val="0"/>
          <w:sz w:val="32"/>
          <w:szCs w:val="32"/>
        </w:rPr>
        <w:t>、环境风险隐患排查论证等。</w:t>
      </w:r>
    </w:p>
    <w:p w14:paraId="2BBEAAA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第二十三条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解释权</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本办法由那曲市生态环境局负责解释。</w:t>
      </w:r>
    </w:p>
    <w:p w14:paraId="0403117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pPr>
      <w:r>
        <w:rPr>
          <w:rFonts w:hint="default" w:ascii="Times New Roman" w:hAnsi="Times New Roman" w:eastAsia="方正仿宋简体" w:cs="Times New Roman"/>
          <w:b/>
          <w:bCs/>
          <w:sz w:val="32"/>
          <w:szCs w:val="32"/>
        </w:rPr>
        <w:t>第二十四条</w:t>
      </w:r>
      <w:r>
        <w:rPr>
          <w:rFonts w:hint="eastAsia" w:ascii="Times New Roman" w:hAnsi="Times New Roman" w:eastAsia="方正仿宋简体" w:cs="Times New Roman"/>
          <w:b/>
          <w:bCs/>
          <w:sz w:val="32"/>
          <w:szCs w:val="32"/>
          <w:lang w:val="en-US" w:eastAsia="zh-CN"/>
        </w:rPr>
        <w:t xml:space="preserve">  【</w:t>
      </w:r>
      <w:r>
        <w:rPr>
          <w:rFonts w:hint="default" w:ascii="Times New Roman" w:hAnsi="Times New Roman" w:eastAsia="方正仿宋简体" w:cs="Times New Roman"/>
          <w:b/>
          <w:bCs/>
          <w:sz w:val="32"/>
          <w:szCs w:val="32"/>
        </w:rPr>
        <w:t>施行日期</w:t>
      </w:r>
      <w:r>
        <w:rPr>
          <w:rFonts w:hint="eastAsia" w:ascii="Times New Roman" w:hAnsi="Times New Roman" w:eastAsia="方正仿宋简体" w:cs="Times New Roman"/>
          <w:b/>
          <w:bCs/>
          <w:sz w:val="32"/>
          <w:szCs w:val="32"/>
          <w:lang w:val="en-US" w:eastAsia="zh-CN"/>
        </w:rPr>
        <w:t>】</w:t>
      </w:r>
      <w:r>
        <w:rPr>
          <w:rFonts w:hint="default" w:ascii="Times New Roman" w:hAnsi="Times New Roman" w:eastAsia="方正仿宋简体" w:cs="Times New Roman"/>
          <w:b w:val="0"/>
          <w:bCs w:val="0"/>
          <w:sz w:val="32"/>
          <w:szCs w:val="32"/>
        </w:rPr>
        <w:t>本办法自印发之日起</w:t>
      </w:r>
      <w:r>
        <w:rPr>
          <w:rFonts w:hint="eastAsia" w:ascii="Times New Roman" w:hAnsi="Times New Roman" w:eastAsia="方正仿宋简体" w:cs="Times New Roman"/>
          <w:b w:val="0"/>
          <w:bCs w:val="0"/>
          <w:sz w:val="32"/>
          <w:szCs w:val="32"/>
          <w:lang w:val="en-US" w:eastAsia="zh-CN"/>
        </w:rPr>
        <w:t>30日后</w:t>
      </w:r>
      <w:r>
        <w:rPr>
          <w:rFonts w:hint="default" w:ascii="Times New Roman" w:hAnsi="Times New Roman" w:eastAsia="方正仿宋简体" w:cs="Times New Roman"/>
          <w:b w:val="0"/>
          <w:bCs w:val="0"/>
          <w:sz w:val="32"/>
          <w:szCs w:val="32"/>
        </w:rPr>
        <w:t>施行。</w:t>
      </w:r>
    </w:p>
    <w:p w14:paraId="0332E15F">
      <w:pPr>
        <w:keepNext w:val="0"/>
        <w:keepLines w:val="0"/>
        <w:pageBreakBefore w:val="0"/>
        <w:kinsoku/>
        <w:wordWrap/>
        <w:overflowPunct/>
        <w:topLinePunct w:val="0"/>
        <w:autoSpaceDE/>
        <w:autoSpaceDN/>
        <w:bidi w:val="0"/>
        <w:adjustRightInd/>
        <w:snapToGrid/>
        <w:spacing w:beforeAutospacing="0" w:afterAutospacing="0" w:line="576" w:lineRule="exact"/>
        <w:ind w:left="0" w:firstLine="632" w:firstLineChars="200"/>
        <w:jc w:val="both"/>
        <w:textAlignment w:val="auto"/>
        <w:rPr>
          <w:rFonts w:hint="default" w:ascii="Times New Roman" w:hAnsi="Times New Roman" w:eastAsia="方正仿宋简体" w:cs="Times New Roman"/>
          <w:b w:val="0"/>
          <w:bCs w:val="0"/>
          <w:sz w:val="32"/>
          <w:szCs w:val="32"/>
        </w:rPr>
        <w:sectPr>
          <w:footerReference r:id="rId3" w:type="default"/>
          <w:footerReference r:id="rId4" w:type="even"/>
          <w:pgSz w:w="11906" w:h="16838"/>
          <w:pgMar w:top="2098" w:right="1474" w:bottom="1984" w:left="1587" w:header="851" w:footer="1587" w:gutter="0"/>
          <w:pgNumType w:fmt="decimal"/>
          <w:cols w:space="0" w:num="1"/>
          <w:rtlGutter w:val="0"/>
          <w:docGrid w:type="linesAndChars" w:linePitch="579" w:charSpace="-842"/>
        </w:sectPr>
      </w:pPr>
    </w:p>
    <w:p w14:paraId="482D484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right="0"/>
        <w:jc w:val="left"/>
        <w:textAlignment w:val="auto"/>
        <w:rPr>
          <w:rFonts w:hint="default" w:ascii="方正仿宋简体" w:hAnsi="方正仿宋简体" w:eastAsia="方正仿宋简体" w:cs="方正仿宋简体"/>
          <w:color w:val="auto"/>
          <w:sz w:val="32"/>
          <w:szCs w:val="32"/>
          <w:lang w:val="en-US" w:eastAsia="zh-CN"/>
        </w:rPr>
      </w:pPr>
      <w:r>
        <w:rPr>
          <w:rFonts w:hint="eastAsia" w:ascii="方正仿宋简体" w:hAnsi="方正仿宋简体" w:eastAsia="方正仿宋简体" w:cs="方正仿宋简体"/>
          <w:color w:val="auto"/>
          <w:sz w:val="32"/>
          <w:szCs w:val="32"/>
          <w:lang w:val="en-US" w:eastAsia="zh-CN"/>
        </w:rPr>
        <w:t>附件</w:t>
      </w:r>
      <w:r>
        <w:rPr>
          <w:rFonts w:hint="eastAsia" w:ascii="Times New Roman" w:hAnsi="Times New Roman" w:eastAsia="方正仿宋简体" w:cs="Times New Roman"/>
          <w:color w:val="000000"/>
          <w:kern w:val="0"/>
          <w:sz w:val="32"/>
          <w:szCs w:val="32"/>
          <w:lang w:val="en-US" w:eastAsia="zh-CN" w:bidi="ar"/>
        </w:rPr>
        <w:t>1</w:t>
      </w:r>
    </w:p>
    <w:p w14:paraId="4FA3AD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val="en-US" w:eastAsia="zh-CN"/>
        </w:rPr>
        <w:t>那曲市</w:t>
      </w:r>
      <w:r>
        <w:rPr>
          <w:rFonts w:hint="eastAsia" w:ascii="方正小标宋简体" w:hAnsi="方正小标宋简体" w:eastAsia="方正小标宋简体" w:cs="方正小标宋简体"/>
          <w:color w:val="auto"/>
          <w:sz w:val="44"/>
          <w:szCs w:val="44"/>
        </w:rPr>
        <w:t>生态环境</w:t>
      </w:r>
      <w:r>
        <w:rPr>
          <w:rFonts w:hint="eastAsia" w:ascii="方正小标宋简体" w:hAnsi="方正小标宋简体" w:eastAsia="方正小标宋简体" w:cs="方正小标宋简体"/>
          <w:color w:val="auto"/>
          <w:sz w:val="44"/>
          <w:szCs w:val="44"/>
          <w:lang w:val="en-US" w:eastAsia="zh-CN"/>
        </w:rPr>
        <w:t>保护</w:t>
      </w:r>
      <w:r>
        <w:rPr>
          <w:rFonts w:hint="eastAsia" w:ascii="方正小标宋简体" w:hAnsi="方正小标宋简体" w:eastAsia="方正小标宋简体" w:cs="方正小标宋简体"/>
          <w:color w:val="auto"/>
          <w:sz w:val="44"/>
          <w:szCs w:val="44"/>
        </w:rPr>
        <w:t>专家</w:t>
      </w:r>
      <w:r>
        <w:rPr>
          <w:rFonts w:hint="eastAsia" w:ascii="方正小标宋简体" w:hAnsi="方正小标宋简体" w:eastAsia="方正小标宋简体" w:cs="方正小标宋简体"/>
          <w:color w:val="auto"/>
          <w:sz w:val="44"/>
          <w:szCs w:val="44"/>
          <w:lang w:val="en-US" w:eastAsia="zh-CN"/>
        </w:rPr>
        <w:t>库专家</w:t>
      </w:r>
      <w:r>
        <w:rPr>
          <w:rFonts w:hint="eastAsia" w:ascii="方正小标宋简体" w:hAnsi="方正小标宋简体" w:eastAsia="方正小标宋简体" w:cs="方正小标宋简体"/>
          <w:color w:val="auto"/>
          <w:sz w:val="44"/>
          <w:szCs w:val="44"/>
        </w:rPr>
        <w:t>申请表</w:t>
      </w:r>
    </w:p>
    <w:tbl>
      <w:tblPr>
        <w:tblStyle w:val="8"/>
        <w:tblpPr w:leftFromText="180" w:rightFromText="180" w:vertAnchor="text" w:horzAnchor="margin" w:tblpXSpec="center" w:tblpY="213"/>
        <w:tblW w:w="4997"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229"/>
        <w:gridCol w:w="514"/>
        <w:gridCol w:w="697"/>
        <w:gridCol w:w="253"/>
        <w:gridCol w:w="863"/>
        <w:gridCol w:w="505"/>
        <w:gridCol w:w="996"/>
        <w:gridCol w:w="1228"/>
        <w:gridCol w:w="1196"/>
        <w:gridCol w:w="1415"/>
      </w:tblGrid>
      <w:tr w14:paraId="26261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691" w:type="pct"/>
            <w:vAlign w:val="center"/>
          </w:tcPr>
          <w:p w14:paraId="78874BC4">
            <w:pPr>
              <w:jc w:val="center"/>
              <w:rPr>
                <w:rFonts w:hint="eastAsia" w:ascii="宋体" w:hAnsi="宋体" w:eastAsia="宋体" w:cs="Times New Roman"/>
                <w:color w:val="auto"/>
                <w:szCs w:val="21"/>
              </w:rPr>
            </w:pPr>
            <w:r>
              <w:rPr>
                <w:rFonts w:hint="eastAsia" w:ascii="宋体" w:hAnsi="宋体" w:eastAsia="宋体" w:cs="Times New Roman"/>
                <w:color w:val="auto"/>
                <w:szCs w:val="21"/>
              </w:rPr>
              <w:t>姓  名</w:t>
            </w:r>
          </w:p>
        </w:tc>
        <w:tc>
          <w:tcPr>
            <w:tcW w:w="681" w:type="pct"/>
            <w:gridSpan w:val="2"/>
            <w:vAlign w:val="center"/>
          </w:tcPr>
          <w:p w14:paraId="707154F3">
            <w:pPr>
              <w:jc w:val="center"/>
              <w:rPr>
                <w:rFonts w:hint="eastAsia" w:ascii="宋体" w:hAnsi="宋体" w:eastAsia="宋体" w:cs="Times New Roman"/>
                <w:color w:val="auto"/>
                <w:szCs w:val="21"/>
              </w:rPr>
            </w:pPr>
          </w:p>
        </w:tc>
        <w:tc>
          <w:tcPr>
            <w:tcW w:w="911" w:type="pct"/>
            <w:gridSpan w:val="3"/>
            <w:vAlign w:val="center"/>
          </w:tcPr>
          <w:p w14:paraId="509E5011">
            <w:pPr>
              <w:ind w:left="-145" w:hanging="197"/>
              <w:jc w:val="center"/>
              <w:rPr>
                <w:rFonts w:hint="eastAsia" w:ascii="宋体" w:hAnsi="宋体" w:eastAsia="宋体" w:cs="Times New Roman"/>
                <w:color w:val="auto"/>
                <w:szCs w:val="21"/>
              </w:rPr>
            </w:pPr>
            <w:r>
              <w:rPr>
                <w:rFonts w:hint="eastAsia" w:ascii="宋体" w:hAnsi="宋体" w:eastAsia="宋体" w:cs="Times New Roman"/>
                <w:color w:val="auto"/>
                <w:szCs w:val="21"/>
              </w:rPr>
              <w:t xml:space="preserve">   性  别</w:t>
            </w:r>
          </w:p>
        </w:tc>
        <w:tc>
          <w:tcPr>
            <w:tcW w:w="559" w:type="pct"/>
            <w:vAlign w:val="center"/>
          </w:tcPr>
          <w:p w14:paraId="480D062A">
            <w:pPr>
              <w:jc w:val="center"/>
              <w:rPr>
                <w:rFonts w:hint="eastAsia" w:ascii="宋体" w:hAnsi="宋体" w:eastAsia="宋体" w:cs="Times New Roman"/>
                <w:color w:val="auto"/>
                <w:szCs w:val="21"/>
              </w:rPr>
            </w:pPr>
          </w:p>
        </w:tc>
        <w:tc>
          <w:tcPr>
            <w:tcW w:w="690" w:type="pct"/>
            <w:vAlign w:val="center"/>
          </w:tcPr>
          <w:p w14:paraId="129A7645">
            <w:pPr>
              <w:jc w:val="center"/>
              <w:rPr>
                <w:rFonts w:hint="eastAsia" w:ascii="宋体" w:hAnsi="宋体" w:eastAsia="宋体" w:cs="Times New Roman"/>
                <w:color w:val="auto"/>
                <w:szCs w:val="21"/>
              </w:rPr>
            </w:pPr>
            <w:r>
              <w:rPr>
                <w:rFonts w:hint="eastAsia" w:ascii="宋体" w:hAnsi="宋体" w:eastAsia="宋体" w:cs="Times New Roman"/>
                <w:color w:val="auto"/>
                <w:szCs w:val="21"/>
              </w:rPr>
              <w:t>出生年月</w:t>
            </w:r>
          </w:p>
        </w:tc>
        <w:tc>
          <w:tcPr>
            <w:tcW w:w="672" w:type="pct"/>
            <w:vAlign w:val="center"/>
          </w:tcPr>
          <w:p w14:paraId="1EF04DF1">
            <w:pPr>
              <w:jc w:val="center"/>
              <w:rPr>
                <w:rFonts w:hint="eastAsia" w:ascii="宋体" w:hAnsi="宋体" w:eastAsia="宋体" w:cs="Times New Roman"/>
                <w:color w:val="auto"/>
                <w:szCs w:val="21"/>
              </w:rPr>
            </w:pPr>
          </w:p>
        </w:tc>
        <w:tc>
          <w:tcPr>
            <w:tcW w:w="794" w:type="pct"/>
            <w:vMerge w:val="restart"/>
            <w:vAlign w:val="center"/>
          </w:tcPr>
          <w:p w14:paraId="48CE61C6">
            <w:pPr>
              <w:jc w:val="center"/>
              <w:rPr>
                <w:rFonts w:hint="eastAsia" w:ascii="宋体" w:hAnsi="宋体" w:eastAsia="宋体" w:cs="Times New Roman"/>
                <w:color w:val="auto"/>
                <w:szCs w:val="21"/>
              </w:rPr>
            </w:pPr>
          </w:p>
          <w:p w14:paraId="0182E0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照片</w:t>
            </w:r>
          </w:p>
          <w:p w14:paraId="7A4BD6A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（一寸彩色）</w:t>
            </w:r>
          </w:p>
          <w:p w14:paraId="31A2F163">
            <w:pPr>
              <w:jc w:val="center"/>
              <w:rPr>
                <w:rFonts w:hint="eastAsia" w:ascii="宋体" w:hAnsi="宋体" w:eastAsia="宋体" w:cs="Times New Roman"/>
                <w:color w:val="auto"/>
                <w:szCs w:val="21"/>
              </w:rPr>
            </w:pPr>
          </w:p>
        </w:tc>
      </w:tr>
      <w:tr w14:paraId="0F68D2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691" w:type="pct"/>
            <w:vAlign w:val="center"/>
          </w:tcPr>
          <w:p w14:paraId="68473982">
            <w:pPr>
              <w:jc w:val="center"/>
              <w:rPr>
                <w:rFonts w:hint="eastAsia" w:ascii="宋体" w:hAnsi="宋体" w:eastAsia="宋体" w:cs="Times New Roman"/>
                <w:color w:val="auto"/>
                <w:szCs w:val="21"/>
              </w:rPr>
            </w:pPr>
            <w:r>
              <w:rPr>
                <w:rFonts w:hint="eastAsia" w:ascii="宋体" w:hAnsi="宋体" w:eastAsia="宋体" w:cs="Times New Roman"/>
                <w:color w:val="auto"/>
                <w:szCs w:val="21"/>
              </w:rPr>
              <w:t>毕业院校</w:t>
            </w:r>
          </w:p>
        </w:tc>
        <w:tc>
          <w:tcPr>
            <w:tcW w:w="681" w:type="pct"/>
            <w:gridSpan w:val="2"/>
            <w:vAlign w:val="center"/>
          </w:tcPr>
          <w:p w14:paraId="7DF15B28">
            <w:pPr>
              <w:jc w:val="center"/>
              <w:rPr>
                <w:rFonts w:hint="eastAsia" w:ascii="宋体" w:hAnsi="宋体" w:eastAsia="宋体" w:cs="Times New Roman"/>
                <w:color w:val="auto"/>
                <w:szCs w:val="21"/>
              </w:rPr>
            </w:pPr>
          </w:p>
        </w:tc>
        <w:tc>
          <w:tcPr>
            <w:tcW w:w="911" w:type="pct"/>
            <w:gridSpan w:val="3"/>
            <w:vAlign w:val="center"/>
          </w:tcPr>
          <w:p w14:paraId="100F0F58">
            <w:pPr>
              <w:jc w:val="center"/>
              <w:rPr>
                <w:rFonts w:hint="eastAsia" w:ascii="宋体" w:hAnsi="宋体" w:eastAsia="宋体" w:cs="Times New Roman"/>
                <w:color w:val="auto"/>
                <w:szCs w:val="21"/>
              </w:rPr>
            </w:pPr>
            <w:r>
              <w:rPr>
                <w:rFonts w:hint="eastAsia" w:ascii="宋体" w:hAnsi="宋体" w:eastAsia="宋体" w:cs="Times New Roman"/>
                <w:color w:val="auto"/>
                <w:szCs w:val="21"/>
              </w:rPr>
              <w:t>最高学历</w:t>
            </w:r>
          </w:p>
        </w:tc>
        <w:tc>
          <w:tcPr>
            <w:tcW w:w="559" w:type="pct"/>
            <w:vAlign w:val="center"/>
          </w:tcPr>
          <w:p w14:paraId="6AB42939">
            <w:pPr>
              <w:jc w:val="center"/>
              <w:rPr>
                <w:rFonts w:hint="eastAsia" w:ascii="宋体" w:hAnsi="宋体" w:eastAsia="宋体" w:cs="Times New Roman"/>
                <w:color w:val="auto"/>
                <w:szCs w:val="21"/>
              </w:rPr>
            </w:pPr>
          </w:p>
        </w:tc>
        <w:tc>
          <w:tcPr>
            <w:tcW w:w="690" w:type="pct"/>
            <w:vAlign w:val="center"/>
          </w:tcPr>
          <w:p w14:paraId="0A3666C7">
            <w:pPr>
              <w:jc w:val="center"/>
              <w:rPr>
                <w:rFonts w:hint="eastAsia" w:ascii="宋体" w:hAnsi="宋体" w:eastAsia="宋体" w:cs="Times New Roman"/>
                <w:color w:val="auto"/>
                <w:szCs w:val="21"/>
              </w:rPr>
            </w:pPr>
            <w:r>
              <w:rPr>
                <w:rFonts w:hint="eastAsia" w:ascii="宋体" w:hAnsi="宋体" w:eastAsia="宋体" w:cs="Times New Roman"/>
                <w:color w:val="auto"/>
                <w:szCs w:val="21"/>
              </w:rPr>
              <w:t>所学专业</w:t>
            </w:r>
          </w:p>
        </w:tc>
        <w:tc>
          <w:tcPr>
            <w:tcW w:w="672" w:type="pct"/>
            <w:vAlign w:val="center"/>
          </w:tcPr>
          <w:p w14:paraId="1317076B">
            <w:pPr>
              <w:jc w:val="center"/>
              <w:rPr>
                <w:rFonts w:hint="eastAsia" w:ascii="宋体" w:hAnsi="宋体" w:eastAsia="宋体" w:cs="Times New Roman"/>
                <w:color w:val="auto"/>
                <w:szCs w:val="21"/>
              </w:rPr>
            </w:pPr>
          </w:p>
        </w:tc>
        <w:tc>
          <w:tcPr>
            <w:tcW w:w="794" w:type="pct"/>
            <w:vMerge w:val="continue"/>
            <w:vAlign w:val="center"/>
          </w:tcPr>
          <w:p w14:paraId="1309B39A">
            <w:pPr>
              <w:jc w:val="center"/>
              <w:rPr>
                <w:rFonts w:hint="eastAsia" w:ascii="宋体" w:hAnsi="宋体" w:eastAsia="宋体" w:cs="Times New Roman"/>
                <w:color w:val="auto"/>
                <w:szCs w:val="21"/>
              </w:rPr>
            </w:pPr>
          </w:p>
        </w:tc>
      </w:tr>
      <w:tr w14:paraId="324901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691" w:type="pct"/>
            <w:vAlign w:val="center"/>
          </w:tcPr>
          <w:p w14:paraId="44ADEEB3">
            <w:pPr>
              <w:jc w:val="center"/>
              <w:rPr>
                <w:rFonts w:hint="eastAsia" w:ascii="宋体" w:hAnsi="宋体" w:eastAsia="宋体" w:cs="Times New Roman"/>
                <w:color w:val="auto"/>
                <w:szCs w:val="21"/>
              </w:rPr>
            </w:pPr>
            <w:r>
              <w:rPr>
                <w:rFonts w:hint="eastAsia" w:ascii="宋体" w:hAnsi="宋体" w:eastAsia="宋体" w:cs="Times New Roman"/>
                <w:color w:val="auto"/>
                <w:szCs w:val="21"/>
              </w:rPr>
              <w:t>现任职务</w:t>
            </w:r>
          </w:p>
        </w:tc>
        <w:tc>
          <w:tcPr>
            <w:tcW w:w="681" w:type="pct"/>
            <w:gridSpan w:val="2"/>
            <w:vAlign w:val="center"/>
          </w:tcPr>
          <w:p w14:paraId="407FCBCA">
            <w:pPr>
              <w:jc w:val="center"/>
              <w:rPr>
                <w:rFonts w:hint="eastAsia" w:ascii="宋体" w:hAnsi="宋体" w:eastAsia="宋体" w:cs="Times New Roman"/>
                <w:color w:val="auto"/>
                <w:szCs w:val="21"/>
              </w:rPr>
            </w:pPr>
          </w:p>
        </w:tc>
        <w:tc>
          <w:tcPr>
            <w:tcW w:w="911" w:type="pct"/>
            <w:gridSpan w:val="3"/>
            <w:vAlign w:val="center"/>
          </w:tcPr>
          <w:p w14:paraId="640243A8">
            <w:pPr>
              <w:jc w:val="center"/>
              <w:rPr>
                <w:rFonts w:hint="eastAsia" w:ascii="宋体" w:hAnsi="宋体" w:eastAsia="宋体" w:cs="Times New Roman"/>
                <w:color w:val="auto"/>
                <w:szCs w:val="21"/>
              </w:rPr>
            </w:pPr>
            <w:r>
              <w:rPr>
                <w:rFonts w:hint="eastAsia" w:ascii="宋体" w:hAnsi="宋体" w:eastAsia="宋体" w:cs="Times New Roman"/>
                <w:color w:val="auto"/>
                <w:szCs w:val="21"/>
              </w:rPr>
              <w:t>从事专业及年限</w:t>
            </w:r>
          </w:p>
        </w:tc>
        <w:tc>
          <w:tcPr>
            <w:tcW w:w="559" w:type="pct"/>
            <w:vAlign w:val="center"/>
          </w:tcPr>
          <w:p w14:paraId="00C2075E">
            <w:pPr>
              <w:jc w:val="center"/>
              <w:rPr>
                <w:rFonts w:hint="eastAsia" w:ascii="宋体" w:hAnsi="宋体" w:eastAsia="宋体" w:cs="Times New Roman"/>
                <w:color w:val="auto"/>
                <w:szCs w:val="21"/>
              </w:rPr>
            </w:pPr>
          </w:p>
        </w:tc>
        <w:tc>
          <w:tcPr>
            <w:tcW w:w="690" w:type="pct"/>
            <w:vAlign w:val="center"/>
          </w:tcPr>
          <w:p w14:paraId="0F23D1FA">
            <w:pPr>
              <w:jc w:val="center"/>
              <w:rPr>
                <w:rFonts w:hint="eastAsia" w:ascii="宋体" w:hAnsi="宋体" w:eastAsia="宋体" w:cs="Times New Roman"/>
                <w:color w:val="auto"/>
                <w:szCs w:val="21"/>
              </w:rPr>
            </w:pPr>
            <w:r>
              <w:rPr>
                <w:rFonts w:hint="eastAsia" w:ascii="宋体" w:hAnsi="宋体" w:eastAsia="宋体" w:cs="Times New Roman"/>
                <w:color w:val="auto"/>
                <w:szCs w:val="21"/>
              </w:rPr>
              <w:t>技术职称</w:t>
            </w:r>
          </w:p>
        </w:tc>
        <w:tc>
          <w:tcPr>
            <w:tcW w:w="672" w:type="pct"/>
            <w:vAlign w:val="center"/>
          </w:tcPr>
          <w:p w14:paraId="55DA9E4E">
            <w:pPr>
              <w:jc w:val="center"/>
              <w:rPr>
                <w:rFonts w:hint="eastAsia" w:ascii="宋体" w:hAnsi="宋体" w:eastAsia="宋体" w:cs="Times New Roman"/>
                <w:color w:val="auto"/>
                <w:szCs w:val="21"/>
              </w:rPr>
            </w:pPr>
          </w:p>
        </w:tc>
        <w:tc>
          <w:tcPr>
            <w:tcW w:w="794" w:type="pct"/>
            <w:vMerge w:val="continue"/>
            <w:vAlign w:val="center"/>
          </w:tcPr>
          <w:p w14:paraId="526A16FA">
            <w:pPr>
              <w:jc w:val="center"/>
              <w:rPr>
                <w:rFonts w:hint="eastAsia" w:ascii="宋体" w:hAnsi="宋体" w:eastAsia="宋体" w:cs="Times New Roman"/>
                <w:color w:val="auto"/>
                <w:szCs w:val="21"/>
              </w:rPr>
            </w:pPr>
          </w:p>
        </w:tc>
      </w:tr>
      <w:tr w14:paraId="5CCA4B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59" w:hRule="atLeast"/>
        </w:trPr>
        <w:tc>
          <w:tcPr>
            <w:tcW w:w="691" w:type="pct"/>
            <w:vAlign w:val="center"/>
          </w:tcPr>
          <w:p w14:paraId="1156C37C">
            <w:pPr>
              <w:jc w:val="center"/>
              <w:rPr>
                <w:rFonts w:hint="eastAsia" w:ascii="宋体" w:hAnsi="宋体" w:eastAsia="宋体" w:cs="Times New Roman"/>
                <w:color w:val="auto"/>
                <w:szCs w:val="21"/>
              </w:rPr>
            </w:pPr>
            <w:r>
              <w:rPr>
                <w:rFonts w:hint="eastAsia" w:ascii="宋体" w:hAnsi="宋体" w:eastAsia="宋体" w:cs="Times New Roman"/>
                <w:color w:val="auto"/>
                <w:szCs w:val="21"/>
              </w:rPr>
              <w:t>常住地市</w:t>
            </w:r>
          </w:p>
        </w:tc>
        <w:tc>
          <w:tcPr>
            <w:tcW w:w="681" w:type="pct"/>
            <w:gridSpan w:val="2"/>
            <w:vAlign w:val="center"/>
          </w:tcPr>
          <w:p w14:paraId="22EB32E5">
            <w:pPr>
              <w:jc w:val="center"/>
              <w:rPr>
                <w:rFonts w:hint="eastAsia" w:ascii="宋体" w:hAnsi="宋体" w:eastAsia="宋体" w:cs="Times New Roman"/>
                <w:color w:val="auto"/>
                <w:szCs w:val="21"/>
              </w:rPr>
            </w:pPr>
          </w:p>
        </w:tc>
        <w:tc>
          <w:tcPr>
            <w:tcW w:w="911" w:type="pct"/>
            <w:gridSpan w:val="3"/>
            <w:vAlign w:val="center"/>
          </w:tcPr>
          <w:p w14:paraId="33A94701">
            <w:pPr>
              <w:jc w:val="center"/>
              <w:rPr>
                <w:rFonts w:hint="eastAsia" w:ascii="宋体" w:hAnsi="宋体" w:eastAsia="宋体" w:cs="Times New Roman"/>
                <w:color w:val="auto"/>
                <w:szCs w:val="21"/>
              </w:rPr>
            </w:pPr>
            <w:r>
              <w:rPr>
                <w:rFonts w:hint="eastAsia" w:ascii="宋体" w:hAnsi="宋体" w:eastAsia="宋体" w:cs="Times New Roman"/>
                <w:color w:val="auto"/>
                <w:szCs w:val="21"/>
                <w:lang w:eastAsia="zh-CN"/>
              </w:rPr>
              <w:t>身体状况</w:t>
            </w:r>
          </w:p>
        </w:tc>
        <w:tc>
          <w:tcPr>
            <w:tcW w:w="559" w:type="pct"/>
            <w:vAlign w:val="center"/>
          </w:tcPr>
          <w:p w14:paraId="14241957">
            <w:pPr>
              <w:jc w:val="center"/>
              <w:rPr>
                <w:rFonts w:hint="eastAsia" w:ascii="宋体" w:hAnsi="宋体" w:eastAsia="宋体" w:cs="Times New Roman"/>
                <w:color w:val="auto"/>
                <w:szCs w:val="21"/>
              </w:rPr>
            </w:pPr>
          </w:p>
        </w:tc>
        <w:tc>
          <w:tcPr>
            <w:tcW w:w="690" w:type="pct"/>
            <w:vAlign w:val="center"/>
          </w:tcPr>
          <w:p w14:paraId="792BB73E">
            <w:pPr>
              <w:jc w:val="center"/>
              <w:rPr>
                <w:rFonts w:hint="eastAsia" w:ascii="宋体" w:hAnsi="宋体" w:eastAsia="宋体" w:cs="Times New Roman"/>
                <w:color w:val="auto"/>
                <w:szCs w:val="21"/>
              </w:rPr>
            </w:pPr>
            <w:r>
              <w:rPr>
                <w:rFonts w:hint="eastAsia" w:ascii="宋体" w:hAnsi="宋体" w:eastAsia="宋体" w:cs="Times New Roman"/>
                <w:color w:val="auto"/>
                <w:w w:val="90"/>
                <w:sz w:val="21"/>
                <w:szCs w:val="21"/>
              </w:rPr>
              <w:t>居民身份证号</w:t>
            </w:r>
          </w:p>
        </w:tc>
        <w:tc>
          <w:tcPr>
            <w:tcW w:w="1466" w:type="pct"/>
            <w:gridSpan w:val="2"/>
            <w:vAlign w:val="center"/>
          </w:tcPr>
          <w:p w14:paraId="17784ADB">
            <w:pPr>
              <w:jc w:val="center"/>
              <w:rPr>
                <w:rFonts w:hint="eastAsia" w:ascii="宋体" w:hAnsi="宋体" w:eastAsia="宋体" w:cs="Times New Roman"/>
                <w:color w:val="auto"/>
                <w:szCs w:val="21"/>
              </w:rPr>
            </w:pPr>
          </w:p>
        </w:tc>
      </w:tr>
      <w:tr w14:paraId="1ECA9E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83" w:hRule="atLeast"/>
        </w:trPr>
        <w:tc>
          <w:tcPr>
            <w:tcW w:w="691" w:type="pct"/>
            <w:vAlign w:val="center"/>
          </w:tcPr>
          <w:p w14:paraId="128D346A">
            <w:pPr>
              <w:jc w:val="center"/>
              <w:rPr>
                <w:rFonts w:hint="eastAsia" w:ascii="宋体" w:hAnsi="宋体" w:eastAsia="宋体" w:cs="Times New Roman"/>
                <w:color w:val="auto"/>
                <w:szCs w:val="21"/>
              </w:rPr>
            </w:pPr>
            <w:r>
              <w:rPr>
                <w:rFonts w:hint="eastAsia" w:ascii="宋体" w:hAnsi="宋体" w:eastAsia="宋体" w:cs="Times New Roman"/>
                <w:color w:val="auto"/>
                <w:szCs w:val="21"/>
              </w:rPr>
              <w:t>工作单位</w:t>
            </w:r>
          </w:p>
        </w:tc>
        <w:tc>
          <w:tcPr>
            <w:tcW w:w="4308" w:type="pct"/>
            <w:gridSpan w:val="9"/>
            <w:vAlign w:val="center"/>
          </w:tcPr>
          <w:p w14:paraId="247C0CDC">
            <w:pPr>
              <w:jc w:val="center"/>
              <w:rPr>
                <w:rFonts w:hint="eastAsia" w:ascii="宋体" w:hAnsi="宋体" w:eastAsia="宋体" w:cs="Times New Roman"/>
                <w:color w:val="auto"/>
                <w:szCs w:val="21"/>
              </w:rPr>
            </w:pPr>
          </w:p>
        </w:tc>
      </w:tr>
      <w:tr w14:paraId="002EEA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3" w:hRule="atLeast"/>
        </w:trPr>
        <w:tc>
          <w:tcPr>
            <w:tcW w:w="691" w:type="pct"/>
            <w:vAlign w:val="center"/>
          </w:tcPr>
          <w:p w14:paraId="4769A71E">
            <w:pPr>
              <w:jc w:val="center"/>
              <w:rPr>
                <w:rFonts w:hint="eastAsia" w:ascii="宋体" w:hAnsi="宋体" w:eastAsia="宋体" w:cs="Times New Roman"/>
                <w:color w:val="auto"/>
                <w:szCs w:val="21"/>
              </w:rPr>
            </w:pPr>
            <w:r>
              <w:rPr>
                <w:rFonts w:hint="eastAsia" w:ascii="宋体" w:hAnsi="宋体" w:eastAsia="宋体" w:cs="Times New Roman"/>
                <w:color w:val="auto"/>
                <w:szCs w:val="21"/>
              </w:rPr>
              <w:t>通讯地址</w:t>
            </w:r>
          </w:p>
        </w:tc>
        <w:tc>
          <w:tcPr>
            <w:tcW w:w="2152" w:type="pct"/>
            <w:gridSpan w:val="6"/>
            <w:vAlign w:val="center"/>
          </w:tcPr>
          <w:p w14:paraId="26294194">
            <w:pPr>
              <w:jc w:val="center"/>
              <w:rPr>
                <w:rFonts w:hint="eastAsia" w:ascii="宋体" w:hAnsi="宋体" w:eastAsia="宋体" w:cs="Times New Roman"/>
                <w:color w:val="auto"/>
                <w:szCs w:val="21"/>
              </w:rPr>
            </w:pPr>
          </w:p>
        </w:tc>
        <w:tc>
          <w:tcPr>
            <w:tcW w:w="690" w:type="pct"/>
            <w:vAlign w:val="center"/>
          </w:tcPr>
          <w:p w14:paraId="058240A8">
            <w:pPr>
              <w:jc w:val="center"/>
              <w:rPr>
                <w:rFonts w:hint="eastAsia" w:ascii="宋体" w:hAnsi="宋体" w:eastAsia="宋体" w:cs="Times New Roman"/>
                <w:color w:val="auto"/>
                <w:szCs w:val="21"/>
              </w:rPr>
            </w:pPr>
            <w:r>
              <w:rPr>
                <w:rFonts w:hint="eastAsia" w:ascii="宋体" w:hAnsi="宋体" w:eastAsia="宋体" w:cs="Times New Roman"/>
                <w:color w:val="auto"/>
                <w:szCs w:val="21"/>
              </w:rPr>
              <w:t>邮政编码</w:t>
            </w:r>
          </w:p>
        </w:tc>
        <w:tc>
          <w:tcPr>
            <w:tcW w:w="1466" w:type="pct"/>
            <w:gridSpan w:val="2"/>
            <w:vAlign w:val="center"/>
          </w:tcPr>
          <w:p w14:paraId="444D54E7">
            <w:pPr>
              <w:jc w:val="center"/>
              <w:rPr>
                <w:rFonts w:hint="eastAsia" w:ascii="宋体" w:hAnsi="宋体" w:eastAsia="宋体" w:cs="Times New Roman"/>
                <w:color w:val="auto"/>
                <w:szCs w:val="21"/>
              </w:rPr>
            </w:pPr>
          </w:p>
        </w:tc>
      </w:tr>
      <w:tr w14:paraId="6D9E31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01" w:hRule="atLeast"/>
        </w:trPr>
        <w:tc>
          <w:tcPr>
            <w:tcW w:w="691" w:type="pct"/>
            <w:vAlign w:val="center"/>
          </w:tcPr>
          <w:p w14:paraId="0B364921">
            <w:pPr>
              <w:jc w:val="center"/>
              <w:rPr>
                <w:rFonts w:hint="eastAsia" w:ascii="宋体" w:hAnsi="宋体" w:eastAsia="宋体" w:cs="Times New Roman"/>
                <w:color w:val="auto"/>
                <w:szCs w:val="21"/>
              </w:rPr>
            </w:pPr>
            <w:r>
              <w:rPr>
                <w:rFonts w:hint="eastAsia" w:ascii="宋体" w:hAnsi="宋体" w:eastAsia="宋体" w:cs="Times New Roman"/>
                <w:color w:val="auto"/>
                <w:szCs w:val="21"/>
              </w:rPr>
              <w:t>单位电话</w:t>
            </w:r>
          </w:p>
        </w:tc>
        <w:tc>
          <w:tcPr>
            <w:tcW w:w="823" w:type="pct"/>
            <w:gridSpan w:val="3"/>
            <w:vAlign w:val="center"/>
          </w:tcPr>
          <w:p w14:paraId="06C453F4">
            <w:pPr>
              <w:jc w:val="center"/>
              <w:rPr>
                <w:rFonts w:hint="eastAsia" w:ascii="宋体" w:hAnsi="宋体" w:eastAsia="宋体" w:cs="Times New Roman"/>
                <w:color w:val="auto"/>
                <w:szCs w:val="21"/>
              </w:rPr>
            </w:pPr>
          </w:p>
        </w:tc>
        <w:tc>
          <w:tcPr>
            <w:tcW w:w="485" w:type="pct"/>
            <w:vAlign w:val="center"/>
          </w:tcPr>
          <w:p w14:paraId="5C5B6AFA">
            <w:pPr>
              <w:jc w:val="center"/>
              <w:rPr>
                <w:rFonts w:hint="eastAsia" w:ascii="宋体" w:hAnsi="宋体" w:eastAsia="宋体" w:cs="Times New Roman"/>
                <w:color w:val="auto"/>
                <w:szCs w:val="21"/>
              </w:rPr>
            </w:pPr>
            <w:r>
              <w:rPr>
                <w:rFonts w:hint="eastAsia" w:ascii="宋体" w:hAnsi="宋体" w:eastAsia="宋体" w:cs="Times New Roman"/>
                <w:color w:val="auto"/>
                <w:szCs w:val="21"/>
              </w:rPr>
              <w:t>手 机</w:t>
            </w:r>
          </w:p>
        </w:tc>
        <w:tc>
          <w:tcPr>
            <w:tcW w:w="843" w:type="pct"/>
            <w:gridSpan w:val="2"/>
            <w:vAlign w:val="center"/>
          </w:tcPr>
          <w:p w14:paraId="75C4E9D3">
            <w:pPr>
              <w:jc w:val="center"/>
              <w:rPr>
                <w:rFonts w:hint="eastAsia" w:ascii="宋体" w:hAnsi="宋体" w:eastAsia="宋体" w:cs="Times New Roman"/>
                <w:color w:val="auto"/>
                <w:szCs w:val="21"/>
              </w:rPr>
            </w:pPr>
          </w:p>
        </w:tc>
        <w:tc>
          <w:tcPr>
            <w:tcW w:w="690" w:type="pct"/>
            <w:vAlign w:val="center"/>
          </w:tcPr>
          <w:p w14:paraId="1FAF5B31">
            <w:pPr>
              <w:jc w:val="center"/>
              <w:rPr>
                <w:rFonts w:hint="eastAsia" w:ascii="宋体" w:hAnsi="宋体" w:eastAsia="宋体" w:cs="Times New Roman"/>
                <w:color w:val="auto"/>
                <w:szCs w:val="21"/>
              </w:rPr>
            </w:pPr>
            <w:r>
              <w:rPr>
                <w:rFonts w:hint="eastAsia" w:ascii="宋体" w:hAnsi="宋体" w:eastAsia="宋体" w:cs="Times New Roman"/>
                <w:color w:val="auto"/>
                <w:szCs w:val="21"/>
              </w:rPr>
              <w:t>电子信箱</w:t>
            </w:r>
          </w:p>
        </w:tc>
        <w:tc>
          <w:tcPr>
            <w:tcW w:w="1466" w:type="pct"/>
            <w:gridSpan w:val="2"/>
            <w:vAlign w:val="center"/>
          </w:tcPr>
          <w:p w14:paraId="2A66FAF6">
            <w:pPr>
              <w:jc w:val="center"/>
              <w:rPr>
                <w:rFonts w:hint="eastAsia" w:ascii="宋体" w:hAnsi="宋体" w:eastAsia="宋体" w:cs="Times New Roman"/>
                <w:color w:val="auto"/>
                <w:szCs w:val="21"/>
              </w:rPr>
            </w:pPr>
          </w:p>
        </w:tc>
      </w:tr>
      <w:tr w14:paraId="54EBB0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24" w:hRule="atLeast"/>
        </w:trPr>
        <w:tc>
          <w:tcPr>
            <w:tcW w:w="691" w:type="pct"/>
            <w:vAlign w:val="center"/>
          </w:tcPr>
          <w:p w14:paraId="48C057B1">
            <w:pPr>
              <w:jc w:val="center"/>
              <w:rPr>
                <w:rFonts w:hint="eastAsia" w:ascii="宋体" w:hAnsi="宋体" w:eastAsia="宋体" w:cs="Times New Roman"/>
                <w:color w:val="auto"/>
                <w:szCs w:val="21"/>
              </w:rPr>
            </w:pPr>
            <w:r>
              <w:rPr>
                <w:rFonts w:hint="eastAsia" w:ascii="宋体" w:hAnsi="宋体" w:eastAsia="宋体" w:cs="Times New Roman"/>
                <w:color w:val="auto"/>
                <w:szCs w:val="21"/>
              </w:rPr>
              <w:t>工作性质</w:t>
            </w:r>
          </w:p>
        </w:tc>
        <w:tc>
          <w:tcPr>
            <w:tcW w:w="4308" w:type="pct"/>
            <w:gridSpan w:val="9"/>
            <w:vAlign w:val="center"/>
          </w:tcPr>
          <w:p w14:paraId="07E0A566">
            <w:pPr>
              <w:spacing w:before="48"/>
              <w:rPr>
                <w:rFonts w:hint="eastAsia" w:ascii="宋体" w:hAnsi="宋体" w:eastAsia="宋体" w:cs="Times New Roman"/>
                <w:color w:val="auto"/>
                <w:szCs w:val="21"/>
              </w:rPr>
            </w:pPr>
            <w:r>
              <w:rPr>
                <w:rFonts w:hint="eastAsia" w:ascii="宋体" w:hAnsi="宋体" w:eastAsia="宋体" w:cs="Times New Roman"/>
                <w:color w:val="auto"/>
                <w:szCs w:val="21"/>
              </w:rPr>
              <w:t>□科研（教育） □</w:t>
            </w:r>
            <w:r>
              <w:rPr>
                <w:rFonts w:hint="eastAsia" w:ascii="宋体" w:hAnsi="宋体" w:eastAsia="宋体" w:cs="Times New Roman"/>
                <w:color w:val="auto"/>
                <w:szCs w:val="21"/>
                <w:lang w:val="en-US" w:eastAsia="zh-CN"/>
              </w:rPr>
              <w:t xml:space="preserve">事业单位 </w:t>
            </w:r>
            <w:r>
              <w:rPr>
                <w:rFonts w:hint="eastAsia" w:ascii="宋体" w:hAnsi="宋体" w:eastAsia="宋体" w:cs="Times New Roman"/>
                <w:color w:val="auto"/>
                <w:szCs w:val="21"/>
              </w:rPr>
              <w:t xml:space="preserve"> □咨询  □工程  □管理</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 xml:space="preserve">□其他 </w:t>
            </w:r>
          </w:p>
        </w:tc>
      </w:tr>
      <w:tr w14:paraId="418659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647" w:hRule="atLeast"/>
        </w:trPr>
        <w:tc>
          <w:tcPr>
            <w:tcW w:w="980" w:type="pct"/>
            <w:gridSpan w:val="2"/>
            <w:vMerge w:val="restart"/>
            <w:vAlign w:val="center"/>
          </w:tcPr>
          <w:p w14:paraId="131129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生态环境损害评估</w:t>
            </w:r>
            <w:r>
              <w:rPr>
                <w:rFonts w:hint="eastAsia" w:ascii="宋体" w:hAnsi="宋体" w:eastAsia="宋体" w:cs="Times New Roman"/>
                <w:color w:val="auto"/>
                <w:szCs w:val="21"/>
                <w:lang w:val="en-US" w:eastAsia="zh-CN"/>
              </w:rPr>
              <w:t>及修复效果评估</w:t>
            </w:r>
            <w:r>
              <w:rPr>
                <w:rFonts w:hint="eastAsia" w:ascii="宋体" w:hAnsi="宋体" w:eastAsia="宋体" w:cs="Times New Roman"/>
                <w:color w:val="auto"/>
                <w:szCs w:val="21"/>
              </w:rPr>
              <w:t>擅长领域（最多可选三项）</w:t>
            </w:r>
          </w:p>
        </w:tc>
        <w:tc>
          <w:tcPr>
            <w:tcW w:w="4019" w:type="pct"/>
            <w:gridSpan w:val="8"/>
            <w:tcBorders>
              <w:bottom w:val="single" w:color="auto" w:sz="4" w:space="0"/>
            </w:tcBorders>
            <w:vAlign w:val="center"/>
          </w:tcPr>
          <w:p w14:paraId="151817B4">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 xml:space="preserve">□污染物性质     </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 xml:space="preserve"> □地表水和沉积物  □环境大气  □土壤与地下水</w:t>
            </w:r>
          </w:p>
          <w:p w14:paraId="06723FA1">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 xml:space="preserve">□近岸海洋和海洋带  □生态系统     </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 xml:space="preserve"> □环境经济  □其他类</w:t>
            </w:r>
          </w:p>
        </w:tc>
      </w:tr>
      <w:tr w14:paraId="39E323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89" w:hRule="atLeast"/>
        </w:trPr>
        <w:tc>
          <w:tcPr>
            <w:tcW w:w="980" w:type="pct"/>
            <w:gridSpan w:val="2"/>
            <w:vMerge w:val="continue"/>
            <w:tcBorders>
              <w:bottom w:val="single" w:color="auto" w:sz="4" w:space="0"/>
            </w:tcBorders>
            <w:vAlign w:val="center"/>
          </w:tcPr>
          <w:p w14:paraId="2F151B43">
            <w:pPr>
              <w:jc w:val="center"/>
              <w:rPr>
                <w:rFonts w:hint="eastAsia" w:ascii="宋体" w:hAnsi="宋体" w:eastAsia="宋体" w:cs="Times New Roman"/>
                <w:color w:val="auto"/>
                <w:szCs w:val="21"/>
              </w:rPr>
            </w:pPr>
          </w:p>
        </w:tc>
        <w:tc>
          <w:tcPr>
            <w:tcW w:w="4019" w:type="pct"/>
            <w:gridSpan w:val="8"/>
            <w:tcBorders>
              <w:bottom w:val="single" w:color="auto" w:sz="4" w:space="0"/>
            </w:tcBorders>
            <w:vAlign w:val="center"/>
          </w:tcPr>
          <w:p w14:paraId="2D04E6BC">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□土地修复工程     □矿产修复工程      □地质修复工程</w:t>
            </w:r>
          </w:p>
          <w:p w14:paraId="404D6F9E">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 xml:space="preserve">□环境修复工程     □农业修复工程      □林业修复工程   </w:t>
            </w:r>
          </w:p>
          <w:p w14:paraId="0405379E">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 xml:space="preserve">□水利修复工程     □生态理论研究类   </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 xml:space="preserve">□工程造价审计管理  </w:t>
            </w:r>
          </w:p>
          <w:p w14:paraId="0504A858">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u w:val="single"/>
              </w:rPr>
            </w:pPr>
            <w:r>
              <w:rPr>
                <w:rFonts w:hint="eastAsia" w:ascii="宋体" w:hAnsi="宋体" w:eastAsia="宋体" w:cs="Times New Roman"/>
                <w:color w:val="auto"/>
                <w:szCs w:val="21"/>
              </w:rPr>
              <w:t>□其他</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（请填写）</w:t>
            </w:r>
          </w:p>
        </w:tc>
      </w:tr>
      <w:tr w14:paraId="7B4A98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35" w:hRule="atLeast"/>
        </w:trPr>
        <w:tc>
          <w:tcPr>
            <w:tcW w:w="980" w:type="pct"/>
            <w:gridSpan w:val="2"/>
            <w:tcBorders>
              <w:bottom w:val="single" w:color="auto" w:sz="4" w:space="0"/>
            </w:tcBorders>
            <w:vAlign w:val="center"/>
          </w:tcPr>
          <w:p w14:paraId="5B6A66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环境影响评价专业领域（最多可选三项）</w:t>
            </w:r>
          </w:p>
        </w:tc>
        <w:tc>
          <w:tcPr>
            <w:tcW w:w="4019" w:type="pct"/>
            <w:gridSpan w:val="8"/>
            <w:tcBorders>
              <w:bottom w:val="single" w:color="auto" w:sz="4" w:space="0"/>
            </w:tcBorders>
            <w:vAlign w:val="top"/>
          </w:tcPr>
          <w:p w14:paraId="6FA463A7">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 xml:space="preserve">地表水环境  □地下水环境  </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大气环境  □声环境 □环境振动</w:t>
            </w:r>
          </w:p>
          <w:p w14:paraId="7A023531">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生态环境 □土壤环境  □人群健康 □海洋环境</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□环境风险 □环境监测  □电磁辐射</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环境工程（□废水  □废气  □噪声  □固体废物）</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 xml:space="preserve">环境管理（□环境影响评价管理  排污许可  </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环境执法  □环境信息）</w:t>
            </w:r>
            <w:r>
              <w:rPr>
                <w:rFonts w:hint="eastAsia" w:ascii="宋体" w:hAnsi="宋体" w:eastAsia="宋体" w:cs="Times New Roman"/>
                <w:color w:val="auto"/>
                <w:szCs w:val="21"/>
                <w:lang w:val="en-US" w:eastAsia="zh-CN"/>
              </w:rPr>
              <w:t xml:space="preserve">  </w:t>
            </w:r>
            <w:r>
              <w:rPr>
                <w:rFonts w:hint="eastAsia" w:ascii="宋体" w:hAnsi="宋体" w:eastAsia="宋体" w:cs="Times New Roman"/>
                <w:color w:val="auto"/>
                <w:szCs w:val="21"/>
              </w:rPr>
              <w:t>□遥感和地理信息  □气象气候  □环境地质  □其他（注明具体专业领域）：</w:t>
            </w:r>
          </w:p>
        </w:tc>
      </w:tr>
      <w:tr w14:paraId="210620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953" w:hRule="atLeast"/>
        </w:trPr>
        <w:tc>
          <w:tcPr>
            <w:tcW w:w="980" w:type="pct"/>
            <w:gridSpan w:val="2"/>
            <w:tcBorders>
              <w:bottom w:val="single" w:color="auto" w:sz="4" w:space="0"/>
            </w:tcBorders>
            <w:vAlign w:val="center"/>
          </w:tcPr>
          <w:p w14:paraId="5796E3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环境应急领域（最多可选三项）</w:t>
            </w:r>
          </w:p>
        </w:tc>
        <w:tc>
          <w:tcPr>
            <w:tcW w:w="4019" w:type="pct"/>
            <w:gridSpan w:val="8"/>
            <w:tcBorders>
              <w:bottom w:val="single" w:color="auto" w:sz="4" w:space="0"/>
            </w:tcBorders>
            <w:vAlign w:val="top"/>
          </w:tcPr>
          <w:p w14:paraId="0DE92263">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环境风险（环境应急预案编制、风险评估、环境风险防范等）</w:t>
            </w:r>
          </w:p>
          <w:p w14:paraId="01D6DE0F">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w:t>
            </w:r>
            <w:r>
              <w:rPr>
                <w:rFonts w:hint="eastAsia" w:ascii="宋体" w:hAnsi="宋体" w:eastAsia="宋体" w:cs="Times New Roman"/>
                <w:color w:val="auto"/>
                <w:w w:val="95"/>
                <w:sz w:val="21"/>
                <w:szCs w:val="21"/>
                <w:lang w:eastAsia="zh-CN"/>
              </w:rPr>
              <w:t>环境工程（固体废物）（危险废物、一般工业固废、生活垃圾等突发污染处置）</w:t>
            </w:r>
          </w:p>
          <w:p w14:paraId="399FE37E">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w w:val="90"/>
                <w:sz w:val="21"/>
                <w:szCs w:val="21"/>
                <w:lang w:eastAsia="zh-CN"/>
              </w:rPr>
            </w:pPr>
            <w:r>
              <w:rPr>
                <w:rFonts w:hint="eastAsia" w:ascii="宋体" w:hAnsi="宋体" w:eastAsia="宋体" w:cs="Times New Roman"/>
                <w:color w:val="auto"/>
                <w:szCs w:val="21"/>
                <w:lang w:eastAsia="zh-CN"/>
              </w:rPr>
              <w:t>□环境监测（环境应急监测方案、现场采样、数据研判）□地表水环境（水污</w:t>
            </w:r>
            <w:r>
              <w:rPr>
                <w:rFonts w:hint="eastAsia" w:ascii="宋体" w:hAnsi="宋体" w:eastAsia="宋体" w:cs="Times New Roman"/>
                <w:color w:val="auto"/>
                <w:w w:val="90"/>
                <w:sz w:val="21"/>
                <w:szCs w:val="21"/>
                <w:lang w:eastAsia="zh-CN"/>
              </w:rPr>
              <w:t>染事件应急处置、饮用水源地保护）□地下水环境（地下水污染风险管控与应急）</w:t>
            </w:r>
          </w:p>
          <w:p w14:paraId="4F07A240">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w w:val="90"/>
                <w:sz w:val="21"/>
                <w:szCs w:val="21"/>
                <w:lang w:eastAsia="zh-CN"/>
              </w:rPr>
            </w:pPr>
            <w:r>
              <w:rPr>
                <w:rFonts w:hint="eastAsia" w:ascii="宋体" w:hAnsi="宋体" w:eastAsia="宋体" w:cs="Times New Roman"/>
                <w:color w:val="auto"/>
                <w:w w:val="90"/>
                <w:sz w:val="21"/>
                <w:szCs w:val="21"/>
                <w:lang w:eastAsia="zh-CN"/>
              </w:rPr>
              <w:t>□大气环境（涉气突发环境事件应急处置）□土壤环境（土壤污染事件应急处置）</w:t>
            </w:r>
          </w:p>
          <w:p w14:paraId="75A6480F">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□生态环境（生态破坏事件应急处置与修复）</w:t>
            </w:r>
          </w:p>
          <w:p w14:paraId="1E00F6FF">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□环境执法（突发环境事件现场调查、处置、处罚）</w:t>
            </w:r>
          </w:p>
          <w:p w14:paraId="6A54F2FB">
            <w:pPr>
              <w:keepNext w:val="0"/>
              <w:keepLines w:val="0"/>
              <w:pageBreakBefore w:val="0"/>
              <w:widowControl w:val="0"/>
              <w:kinsoku/>
              <w:wordWrap/>
              <w:overflowPunct/>
              <w:topLinePunct w:val="0"/>
              <w:autoSpaceDE/>
              <w:autoSpaceDN/>
              <w:bidi w:val="0"/>
              <w:adjustRightInd/>
              <w:snapToGrid/>
              <w:spacing w:before="72" w:line="240" w:lineRule="exac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lang w:eastAsia="zh-CN"/>
              </w:rPr>
              <w:t>□其他（注明：环境应急管理 / 突发环境事件处置）（用于补充应急预案、应急演练、应急指挥、环境损害评估等未单独列出的领域）</w:t>
            </w:r>
          </w:p>
        </w:tc>
      </w:tr>
      <w:tr w14:paraId="4F38B3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974" w:hRule="atLeast"/>
        </w:trPr>
        <w:tc>
          <w:tcPr>
            <w:tcW w:w="980" w:type="pct"/>
            <w:gridSpan w:val="2"/>
            <w:tcBorders>
              <w:bottom w:val="single" w:color="auto" w:sz="4" w:space="0"/>
            </w:tcBorders>
            <w:vAlign w:val="center"/>
          </w:tcPr>
          <w:p w14:paraId="5C0D537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个人简历</w:t>
            </w:r>
          </w:p>
          <w:p w14:paraId="10FB58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（教育背景、工作经历）</w:t>
            </w:r>
          </w:p>
        </w:tc>
        <w:tc>
          <w:tcPr>
            <w:tcW w:w="4019" w:type="pct"/>
            <w:gridSpan w:val="8"/>
            <w:tcBorders>
              <w:bottom w:val="single" w:color="auto" w:sz="4" w:space="0"/>
            </w:tcBorders>
            <w:vAlign w:val="center"/>
          </w:tcPr>
          <w:p w14:paraId="59909D2D">
            <w:pPr>
              <w:spacing w:before="72"/>
              <w:rPr>
                <w:rFonts w:hint="eastAsia" w:ascii="宋体" w:hAnsi="宋体" w:eastAsia="宋体" w:cs="Times New Roman"/>
                <w:color w:val="auto"/>
                <w:szCs w:val="21"/>
              </w:rPr>
            </w:pPr>
            <w:r>
              <w:rPr>
                <w:rFonts w:hint="eastAsia" w:ascii="宋体" w:hAnsi="宋体" w:eastAsia="宋体" w:cs="Times New Roman"/>
                <w:color w:val="auto"/>
                <w:szCs w:val="21"/>
              </w:rPr>
              <w:t>（起止年月、毕业院校或工作单位、所学专业或从事工作、学历或职务）</w:t>
            </w:r>
          </w:p>
        </w:tc>
      </w:tr>
      <w:tr w14:paraId="14BCC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26" w:hRule="atLeast"/>
        </w:trPr>
        <w:tc>
          <w:tcPr>
            <w:tcW w:w="980" w:type="pct"/>
            <w:gridSpan w:val="2"/>
            <w:tcBorders>
              <w:bottom w:val="single" w:color="auto" w:sz="4" w:space="0"/>
            </w:tcBorders>
            <w:vAlign w:val="center"/>
          </w:tcPr>
          <w:p w14:paraId="7BD9DD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工作业绩</w:t>
            </w:r>
          </w:p>
          <w:p w14:paraId="6D7164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或</w:t>
            </w:r>
            <w:r>
              <w:rPr>
                <w:rFonts w:hint="eastAsia" w:ascii="宋体" w:hAnsi="宋体" w:eastAsia="宋体" w:cs="Times New Roman"/>
                <w:color w:val="auto"/>
                <w:szCs w:val="21"/>
                <w:lang w:val="en-US" w:eastAsia="zh-CN"/>
              </w:rPr>
              <w:t>生态</w:t>
            </w:r>
            <w:r>
              <w:rPr>
                <w:rFonts w:hint="eastAsia" w:ascii="宋体" w:hAnsi="宋体" w:eastAsia="宋体" w:cs="Times New Roman"/>
                <w:color w:val="auto"/>
                <w:szCs w:val="21"/>
              </w:rPr>
              <w:t>环境</w:t>
            </w:r>
            <w:r>
              <w:rPr>
                <w:rFonts w:hint="eastAsia" w:ascii="宋体" w:hAnsi="宋体" w:eastAsia="宋体" w:cs="Times New Roman"/>
                <w:color w:val="auto"/>
                <w:szCs w:val="21"/>
                <w:lang w:val="en-US" w:eastAsia="zh-CN"/>
              </w:rPr>
              <w:t>领域</w:t>
            </w:r>
            <w:r>
              <w:rPr>
                <w:rFonts w:hint="eastAsia" w:ascii="宋体" w:hAnsi="宋体" w:eastAsia="宋体" w:cs="Times New Roman"/>
                <w:color w:val="auto"/>
                <w:szCs w:val="21"/>
              </w:rPr>
              <w:t>研究成果（包括研项目、论文以及本人贡献等）</w:t>
            </w:r>
          </w:p>
        </w:tc>
        <w:tc>
          <w:tcPr>
            <w:tcW w:w="4019" w:type="pct"/>
            <w:gridSpan w:val="8"/>
            <w:tcBorders>
              <w:bottom w:val="single" w:color="auto" w:sz="4" w:space="0"/>
            </w:tcBorders>
            <w:vAlign w:val="center"/>
          </w:tcPr>
          <w:p w14:paraId="18709E17">
            <w:pPr>
              <w:spacing w:before="72"/>
              <w:rPr>
                <w:rFonts w:hint="eastAsia" w:ascii="宋体" w:hAnsi="宋体" w:eastAsia="宋体" w:cs="Times New Roman"/>
                <w:color w:val="auto"/>
                <w:szCs w:val="21"/>
              </w:rPr>
            </w:pPr>
          </w:p>
        </w:tc>
      </w:tr>
      <w:tr w14:paraId="7137CE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53" w:hRule="atLeast"/>
        </w:trPr>
        <w:tc>
          <w:tcPr>
            <w:tcW w:w="980" w:type="pct"/>
            <w:gridSpan w:val="2"/>
            <w:tcBorders>
              <w:bottom w:val="single" w:color="auto" w:sz="4" w:space="0"/>
            </w:tcBorders>
            <w:vAlign w:val="center"/>
          </w:tcPr>
          <w:p w14:paraId="06BC1F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获奖情况</w:t>
            </w:r>
          </w:p>
        </w:tc>
        <w:tc>
          <w:tcPr>
            <w:tcW w:w="4019" w:type="pct"/>
            <w:gridSpan w:val="8"/>
            <w:tcBorders>
              <w:bottom w:val="single" w:color="auto" w:sz="4" w:space="0"/>
            </w:tcBorders>
            <w:vAlign w:val="center"/>
          </w:tcPr>
          <w:p w14:paraId="7F7CE404">
            <w:pPr>
              <w:spacing w:before="72"/>
              <w:rPr>
                <w:rFonts w:hint="eastAsia" w:ascii="宋体" w:hAnsi="宋体" w:eastAsia="宋体" w:cs="Times New Roman"/>
                <w:color w:val="auto"/>
                <w:szCs w:val="21"/>
              </w:rPr>
            </w:pPr>
          </w:p>
        </w:tc>
      </w:tr>
      <w:tr w14:paraId="761447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124" w:hRule="atLeast"/>
        </w:trPr>
        <w:tc>
          <w:tcPr>
            <w:tcW w:w="980" w:type="pct"/>
            <w:gridSpan w:val="2"/>
            <w:tcBorders>
              <w:bottom w:val="single" w:color="auto" w:sz="4" w:space="0"/>
            </w:tcBorders>
            <w:vAlign w:val="center"/>
          </w:tcPr>
          <w:p w14:paraId="06A2AAF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其他需要说明的事项（或者从事生态环境</w:t>
            </w:r>
            <w:r>
              <w:rPr>
                <w:rFonts w:hint="eastAsia" w:ascii="宋体" w:hAnsi="宋体" w:eastAsia="宋体" w:cs="Times New Roman"/>
                <w:color w:val="auto"/>
                <w:szCs w:val="21"/>
                <w:lang w:val="en-US" w:eastAsia="zh-CN"/>
              </w:rPr>
              <w:t>保护擅长方面</w:t>
            </w:r>
            <w:r>
              <w:rPr>
                <w:rFonts w:hint="eastAsia" w:ascii="宋体" w:hAnsi="宋体" w:eastAsia="宋体" w:cs="Times New Roman"/>
                <w:color w:val="auto"/>
                <w:szCs w:val="21"/>
              </w:rPr>
              <w:t>工作的经验等）</w:t>
            </w:r>
          </w:p>
        </w:tc>
        <w:tc>
          <w:tcPr>
            <w:tcW w:w="4019" w:type="pct"/>
            <w:gridSpan w:val="8"/>
            <w:tcBorders>
              <w:bottom w:val="single" w:color="auto" w:sz="4" w:space="0"/>
            </w:tcBorders>
            <w:vAlign w:val="center"/>
          </w:tcPr>
          <w:p w14:paraId="7E5FF618">
            <w:pPr>
              <w:spacing w:before="72"/>
              <w:rPr>
                <w:rFonts w:hint="eastAsia" w:ascii="宋体" w:hAnsi="宋体" w:eastAsia="宋体" w:cs="Times New Roman"/>
                <w:color w:val="auto"/>
                <w:szCs w:val="21"/>
              </w:rPr>
            </w:pPr>
          </w:p>
        </w:tc>
      </w:tr>
      <w:tr w14:paraId="288067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980" w:type="pct"/>
            <w:gridSpan w:val="2"/>
            <w:tcBorders>
              <w:bottom w:val="single" w:color="auto" w:sz="4" w:space="0"/>
            </w:tcBorders>
            <w:vAlign w:val="center"/>
          </w:tcPr>
          <w:p w14:paraId="04B90255">
            <w:pPr>
              <w:spacing w:line="360" w:lineRule="exact"/>
              <w:jc w:val="center"/>
              <w:rPr>
                <w:rFonts w:hint="eastAsia" w:ascii="宋体" w:hAnsi="宋体" w:eastAsia="宋体" w:cs="Times New Roman"/>
                <w:color w:val="auto"/>
                <w:szCs w:val="21"/>
              </w:rPr>
            </w:pPr>
            <w:r>
              <w:rPr>
                <w:rFonts w:hint="eastAsia" w:ascii="宋体" w:hAnsi="宋体" w:eastAsia="宋体" w:cs="Times New Roman"/>
                <w:color w:val="auto"/>
                <w:szCs w:val="21"/>
              </w:rPr>
              <w:t>专家</w:t>
            </w:r>
          </w:p>
          <w:p w14:paraId="663DFBAB">
            <w:pPr>
              <w:spacing w:line="360" w:lineRule="exact"/>
              <w:jc w:val="center"/>
              <w:rPr>
                <w:rFonts w:hint="eastAsia" w:ascii="宋体" w:hAnsi="宋体" w:eastAsia="宋体" w:cs="Times New Roman"/>
                <w:color w:val="auto"/>
                <w:szCs w:val="21"/>
              </w:rPr>
            </w:pPr>
            <w:r>
              <w:rPr>
                <w:rFonts w:hint="eastAsia" w:ascii="宋体" w:hAnsi="宋体" w:eastAsia="宋体" w:cs="Times New Roman"/>
                <w:color w:val="auto"/>
                <w:szCs w:val="21"/>
              </w:rPr>
              <w:t>本人承诺</w:t>
            </w:r>
          </w:p>
        </w:tc>
        <w:tc>
          <w:tcPr>
            <w:tcW w:w="4019" w:type="pct"/>
            <w:gridSpan w:val="8"/>
            <w:tcBorders>
              <w:bottom w:val="single" w:color="auto" w:sz="4" w:space="0"/>
            </w:tcBorders>
            <w:vAlign w:val="center"/>
          </w:tcPr>
          <w:p w14:paraId="159131D0">
            <w:pPr>
              <w:spacing w:line="360" w:lineRule="exact"/>
              <w:ind w:firstLine="412" w:firstLineChars="200"/>
              <w:rPr>
                <w:rFonts w:hint="eastAsia" w:ascii="宋体" w:hAnsi="宋体" w:eastAsia="宋体" w:cs="Times New Roman"/>
                <w:color w:val="auto"/>
                <w:szCs w:val="21"/>
              </w:rPr>
            </w:pPr>
            <w:r>
              <w:rPr>
                <w:rFonts w:hint="eastAsia" w:ascii="宋体" w:hAnsi="宋体" w:eastAsia="宋体" w:cs="Times New Roman"/>
                <w:color w:val="auto"/>
                <w:szCs w:val="21"/>
                <w:lang w:eastAsia="zh-Hans"/>
              </w:rPr>
              <w:t>本人保证以上资料属实，无违法犯罪、严重违纪以及违反职业道德被解除劳动合同记录，愿意成为</w:t>
            </w:r>
            <w:r>
              <w:rPr>
                <w:rFonts w:hint="eastAsia" w:ascii="宋体" w:hAnsi="宋体" w:eastAsia="宋体" w:cs="Times New Roman"/>
                <w:color w:val="auto"/>
                <w:szCs w:val="21"/>
              </w:rPr>
              <w:t>西藏自治区</w:t>
            </w:r>
            <w:r>
              <w:rPr>
                <w:rFonts w:hint="eastAsia" w:ascii="宋体" w:hAnsi="宋体" w:eastAsia="宋体" w:cs="Times New Roman"/>
                <w:color w:val="auto"/>
                <w:szCs w:val="21"/>
                <w:lang w:eastAsia="zh-Hans"/>
              </w:rPr>
              <w:t>生态环境损害鉴定评估专家库成员</w:t>
            </w:r>
            <w:r>
              <w:rPr>
                <w:rFonts w:ascii="宋体" w:hAnsi="宋体" w:eastAsia="宋体" w:cs="Times New Roman"/>
                <w:color w:val="auto"/>
                <w:szCs w:val="21"/>
                <w:lang w:eastAsia="zh-Hans"/>
              </w:rPr>
              <w:t>，</w:t>
            </w:r>
            <w:r>
              <w:rPr>
                <w:rFonts w:hint="eastAsia" w:ascii="宋体" w:hAnsi="宋体" w:eastAsia="宋体" w:cs="Times New Roman"/>
                <w:color w:val="auto"/>
                <w:szCs w:val="21"/>
                <w:lang w:eastAsia="zh-Hans"/>
              </w:rPr>
              <w:t>并承诺在咨询</w:t>
            </w:r>
            <w:r>
              <w:rPr>
                <w:rFonts w:ascii="宋体" w:hAnsi="宋体" w:eastAsia="宋体" w:cs="Times New Roman"/>
                <w:color w:val="auto"/>
                <w:szCs w:val="21"/>
                <w:lang w:eastAsia="zh-Hans"/>
              </w:rPr>
              <w:t>、</w:t>
            </w:r>
            <w:r>
              <w:rPr>
                <w:rFonts w:hint="eastAsia" w:ascii="宋体" w:hAnsi="宋体" w:eastAsia="宋体" w:cs="Times New Roman"/>
                <w:color w:val="auto"/>
                <w:szCs w:val="21"/>
                <w:lang w:eastAsia="zh-Hans"/>
              </w:rPr>
              <w:t>评审过程中做到科学</w:t>
            </w:r>
            <w:r>
              <w:rPr>
                <w:rFonts w:ascii="宋体" w:hAnsi="宋体" w:eastAsia="宋体" w:cs="Times New Roman"/>
                <w:color w:val="auto"/>
                <w:szCs w:val="21"/>
                <w:lang w:eastAsia="zh-Hans"/>
              </w:rPr>
              <w:t>、</w:t>
            </w:r>
            <w:r>
              <w:rPr>
                <w:rFonts w:hint="eastAsia" w:ascii="宋体" w:hAnsi="宋体" w:eastAsia="宋体" w:cs="Times New Roman"/>
                <w:color w:val="auto"/>
                <w:szCs w:val="21"/>
                <w:lang w:eastAsia="zh-Hans"/>
              </w:rPr>
              <w:t>客观</w:t>
            </w:r>
            <w:r>
              <w:rPr>
                <w:rFonts w:ascii="宋体" w:hAnsi="宋体" w:eastAsia="宋体" w:cs="Times New Roman"/>
                <w:color w:val="auto"/>
                <w:szCs w:val="21"/>
                <w:lang w:eastAsia="zh-Hans"/>
              </w:rPr>
              <w:t>、</w:t>
            </w:r>
            <w:r>
              <w:rPr>
                <w:rFonts w:hint="eastAsia" w:ascii="宋体" w:hAnsi="宋体" w:eastAsia="宋体" w:cs="Times New Roman"/>
                <w:color w:val="auto"/>
                <w:szCs w:val="21"/>
                <w:lang w:eastAsia="zh-Hans"/>
              </w:rPr>
              <w:t>公正</w:t>
            </w:r>
            <w:r>
              <w:rPr>
                <w:rFonts w:ascii="宋体" w:hAnsi="宋体" w:eastAsia="宋体" w:cs="Times New Roman"/>
                <w:color w:val="auto"/>
                <w:szCs w:val="21"/>
                <w:lang w:eastAsia="zh-Hans"/>
              </w:rPr>
              <w:t>。</w:t>
            </w:r>
            <w:r>
              <w:rPr>
                <w:rFonts w:hint="eastAsia" w:ascii="宋体" w:hAnsi="宋体" w:eastAsia="宋体" w:cs="Times New Roman"/>
                <w:color w:val="auto"/>
                <w:szCs w:val="21"/>
                <w:lang w:eastAsia="zh-Hans"/>
              </w:rPr>
              <w:t>严格遵守法律法规、执业纪律及本专家库相关管理规定开展工作。如有虚假承诺愿意承担相应后果。</w:t>
            </w:r>
          </w:p>
          <w:p w14:paraId="3E2EEFDC">
            <w:pPr>
              <w:spacing w:line="360" w:lineRule="exact"/>
              <w:rPr>
                <w:rFonts w:hint="eastAsia" w:ascii="宋体" w:hAnsi="宋体" w:eastAsia="宋体" w:cs="Times New Roman"/>
                <w:color w:val="auto"/>
                <w:szCs w:val="21"/>
              </w:rPr>
            </w:pPr>
          </w:p>
          <w:p w14:paraId="46A3C892">
            <w:pPr>
              <w:spacing w:line="360" w:lineRule="exact"/>
              <w:ind w:right="1440"/>
              <w:jc w:val="right"/>
              <w:rPr>
                <w:rFonts w:hint="eastAsia" w:ascii="宋体" w:hAnsi="宋体" w:eastAsia="宋体" w:cs="Times New Roman"/>
                <w:color w:val="auto"/>
                <w:szCs w:val="21"/>
                <w:lang w:eastAsia="zh-Hans"/>
              </w:rPr>
            </w:pPr>
            <w:r>
              <w:rPr>
                <w:rFonts w:hint="eastAsia" w:ascii="宋体" w:hAnsi="宋体" w:eastAsia="宋体" w:cs="Times New Roman"/>
                <w:color w:val="auto"/>
                <w:szCs w:val="21"/>
                <w:lang w:eastAsia="zh-Hans"/>
              </w:rPr>
              <w:t>签名</w:t>
            </w:r>
            <w:r>
              <w:rPr>
                <w:rFonts w:ascii="宋体" w:hAnsi="宋体" w:eastAsia="宋体" w:cs="Times New Roman"/>
                <w:color w:val="auto"/>
                <w:szCs w:val="21"/>
                <w:lang w:eastAsia="zh-Hans"/>
              </w:rPr>
              <w:t xml:space="preserve">：         </w:t>
            </w:r>
          </w:p>
          <w:p w14:paraId="401E319A">
            <w:pPr>
              <w:spacing w:line="360" w:lineRule="exact"/>
              <w:ind w:right="1440"/>
              <w:jc w:val="right"/>
              <w:rPr>
                <w:rFonts w:hint="eastAsia" w:ascii="宋体" w:hAnsi="宋体" w:eastAsia="宋体" w:cs="Times New Roman"/>
                <w:color w:val="auto"/>
                <w:sz w:val="24"/>
                <w:szCs w:val="22"/>
                <w:lang w:eastAsia="zh-Hans"/>
              </w:rPr>
            </w:pPr>
            <w:r>
              <w:rPr>
                <w:rFonts w:hint="eastAsia" w:ascii="宋体" w:hAnsi="宋体" w:eastAsia="宋体" w:cs="Times New Roman"/>
                <w:color w:val="auto"/>
                <w:szCs w:val="21"/>
                <w:lang w:eastAsia="zh-Hans"/>
              </w:rPr>
              <w:t>日期</w:t>
            </w:r>
            <w:r>
              <w:rPr>
                <w:rFonts w:ascii="宋体" w:hAnsi="宋体" w:eastAsia="宋体" w:cs="Times New Roman"/>
                <w:color w:val="auto"/>
                <w:szCs w:val="21"/>
                <w:lang w:eastAsia="zh-Hans"/>
              </w:rPr>
              <w:t xml:space="preserve">： </w:t>
            </w:r>
          </w:p>
        </w:tc>
      </w:tr>
      <w:tr w14:paraId="3BBEE8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01" w:hRule="atLeast"/>
        </w:trPr>
        <w:tc>
          <w:tcPr>
            <w:tcW w:w="5000" w:type="pct"/>
            <w:gridSpan w:val="10"/>
          </w:tcPr>
          <w:p w14:paraId="43D6F421">
            <w:pPr>
              <w:rPr>
                <w:rFonts w:hint="eastAsia" w:ascii="宋体" w:hAnsi="宋体" w:eastAsia="宋体" w:cs="Times New Roman"/>
                <w:color w:val="auto"/>
                <w:szCs w:val="21"/>
              </w:rPr>
            </w:pPr>
            <w:r>
              <w:rPr>
                <w:rFonts w:hint="eastAsia" w:ascii="宋体" w:hAnsi="宋体" w:eastAsia="宋体" w:cs="Times New Roman"/>
                <w:color w:val="auto"/>
                <w:szCs w:val="21"/>
              </w:rPr>
              <w:t>推荐单位审核意见：</w:t>
            </w:r>
          </w:p>
          <w:p w14:paraId="6A9FBD3B">
            <w:pPr>
              <w:rPr>
                <w:rFonts w:hint="eastAsia" w:ascii="宋体" w:hAnsi="宋体" w:eastAsia="宋体" w:cs="Times New Roman"/>
                <w:color w:val="auto"/>
                <w:szCs w:val="21"/>
              </w:rPr>
            </w:pPr>
          </w:p>
          <w:p w14:paraId="54E905D5">
            <w:pPr>
              <w:spacing w:line="360" w:lineRule="auto"/>
              <w:ind w:firstLine="6093" w:firstLineChars="2958"/>
              <w:rPr>
                <w:rFonts w:hint="eastAsia" w:ascii="宋体" w:hAnsi="宋体" w:eastAsia="宋体" w:cs="Times New Roman"/>
                <w:color w:val="auto"/>
                <w:szCs w:val="21"/>
              </w:rPr>
            </w:pPr>
            <w:r>
              <w:rPr>
                <w:rFonts w:hint="eastAsia" w:ascii="宋体" w:hAnsi="宋体" w:eastAsia="宋体" w:cs="Times New Roman"/>
                <w:color w:val="auto"/>
                <w:szCs w:val="21"/>
              </w:rPr>
              <w:t>公   章</w:t>
            </w:r>
          </w:p>
          <w:p w14:paraId="53E559BD">
            <w:pPr>
              <w:spacing w:line="360" w:lineRule="auto"/>
              <w:ind w:firstLine="5887" w:firstLineChars="2858"/>
              <w:rPr>
                <w:rFonts w:hint="eastAsia" w:ascii="宋体" w:hAnsi="宋体" w:eastAsia="宋体" w:cs="Times New Roman"/>
                <w:color w:val="auto"/>
                <w:szCs w:val="21"/>
              </w:rPr>
            </w:pPr>
            <w:r>
              <w:rPr>
                <w:rFonts w:hint="eastAsia" w:ascii="宋体" w:hAnsi="宋体" w:eastAsia="宋体" w:cs="Times New Roman"/>
                <w:color w:val="auto"/>
                <w:szCs w:val="21"/>
              </w:rPr>
              <w:t>年   月   日</w:t>
            </w:r>
          </w:p>
        </w:tc>
      </w:tr>
    </w:tbl>
    <w:p w14:paraId="488106A2">
      <w:pPr>
        <w:rPr>
          <w:rFonts w:hint="eastAsia" w:ascii="宋体" w:hAnsi="宋体" w:eastAsia="等线" w:cs="Times New Roman"/>
          <w:color w:val="auto"/>
          <w:szCs w:val="21"/>
        </w:rPr>
        <w:sectPr>
          <w:pgSz w:w="11906" w:h="16838"/>
          <w:pgMar w:top="2098" w:right="1474" w:bottom="1984" w:left="1587" w:header="851" w:footer="1587" w:gutter="0"/>
          <w:pgNumType w:fmt="decimal"/>
          <w:cols w:space="0" w:num="1"/>
          <w:rtlGutter w:val="0"/>
          <w:docGrid w:type="linesAndChars" w:linePitch="579" w:charSpace="-842"/>
        </w:sectPr>
      </w:pPr>
      <w:r>
        <w:rPr>
          <w:rFonts w:hint="eastAsia" w:ascii="宋体" w:hAnsi="宋体" w:eastAsia="等线" w:cs="Times New Roman"/>
          <w:color w:val="auto"/>
          <w:szCs w:val="21"/>
        </w:rPr>
        <w:t>（注：相关证明材料请附后）</w:t>
      </w:r>
    </w:p>
    <w:p w14:paraId="4B6F6A7E">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附件</w:t>
      </w:r>
      <w:r>
        <w:rPr>
          <w:rFonts w:hint="default" w:ascii="Times New Roman" w:hAnsi="Times New Roman" w:eastAsia="方正仿宋简体" w:cs="Times New Roman"/>
          <w:color w:val="auto"/>
          <w:kern w:val="0"/>
          <w:sz w:val="30"/>
          <w:szCs w:val="30"/>
          <w:lang w:val="en-US" w:eastAsia="zh-CN" w:bidi="ar-SA"/>
        </w:rPr>
        <w:t>2</w:t>
      </w:r>
    </w:p>
    <w:p w14:paraId="575F90D3">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jc w:val="center"/>
        <w:textAlignment w:val="auto"/>
        <w:rPr>
          <w:rFonts w:hint="eastAsia" w:ascii="方正仿宋简体" w:hAnsi="方正仿宋简体" w:eastAsia="方正仿宋简体" w:cs="方正仿宋简体"/>
          <w:color w:val="auto"/>
          <w:kern w:val="2"/>
          <w:sz w:val="36"/>
          <w:szCs w:val="36"/>
          <w:lang w:val="en-US" w:eastAsia="zh-CN" w:bidi="ar-SA"/>
        </w:rPr>
      </w:pPr>
      <w:r>
        <w:rPr>
          <w:rFonts w:hint="eastAsia" w:ascii="方正仿宋简体" w:hAnsi="方正仿宋简体" w:eastAsia="方正仿宋简体" w:cs="方正仿宋简体"/>
          <w:color w:val="auto"/>
          <w:kern w:val="2"/>
          <w:sz w:val="36"/>
          <w:szCs w:val="36"/>
          <w:lang w:val="en-US" w:eastAsia="zh-CN" w:bidi="ar-SA"/>
        </w:rPr>
        <w:t>专家承诺书</w:t>
      </w:r>
    </w:p>
    <w:p w14:paraId="19A2923C">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jc w:val="center"/>
        <w:textAlignment w:val="auto"/>
        <w:rPr>
          <w:rFonts w:hint="eastAsia" w:ascii="方正仿宋简体" w:hAnsi="方正仿宋简体" w:eastAsia="方正仿宋简体" w:cs="方正仿宋简体"/>
          <w:color w:val="auto"/>
          <w:kern w:val="2"/>
          <w:sz w:val="30"/>
          <w:szCs w:val="30"/>
          <w:lang w:val="en-US" w:eastAsia="zh-CN" w:bidi="ar-SA"/>
        </w:rPr>
      </w:pPr>
    </w:p>
    <w:p w14:paraId="7F4D0C35">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本人自愿以专家身份参与那曲市环境影响评价、生态环境损害赔偿、环境应急处置工作，知晓有关工作要求，现郑重承诺：</w:t>
      </w:r>
    </w:p>
    <w:p w14:paraId="353EA7E8">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一、本人所提供的个人信息真实有效，对所提供个人信息的真实性承担一切责任；</w:t>
      </w:r>
    </w:p>
    <w:p w14:paraId="1A626B66">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二、严格执行</w:t>
      </w:r>
      <w:r>
        <w:rPr>
          <w:rFonts w:hint="eastAsia" w:ascii="方正仿宋简体" w:hAnsi="方正仿宋简体" w:eastAsia="方正仿宋简体" w:cs="方正仿宋简体"/>
          <w:color w:val="auto"/>
          <w:kern w:val="0"/>
          <w:sz w:val="30"/>
          <w:szCs w:val="30"/>
          <w:u w:val="single"/>
          <w:lang w:val="en-US" w:eastAsia="zh-CN" w:bidi="ar-SA"/>
        </w:rPr>
        <w:t xml:space="preserve">           </w:t>
      </w:r>
      <w:r>
        <w:rPr>
          <w:rFonts w:hint="eastAsia" w:ascii="方正仿宋简体" w:hAnsi="方正仿宋简体" w:eastAsia="方正仿宋简体" w:cs="方正仿宋简体"/>
          <w:color w:val="auto"/>
          <w:kern w:val="0"/>
          <w:sz w:val="30"/>
          <w:szCs w:val="30"/>
          <w:u w:val="none"/>
          <w:lang w:val="en-US" w:eastAsia="zh-CN" w:bidi="ar-SA"/>
        </w:rPr>
        <w:t>（</w:t>
      </w:r>
      <w:r>
        <w:rPr>
          <w:rFonts w:hint="eastAsia" w:ascii="方正仿宋简体" w:hAnsi="方正仿宋简体" w:eastAsia="方正仿宋简体" w:cs="方正仿宋简体"/>
          <w:color w:val="auto"/>
          <w:kern w:val="0"/>
          <w:sz w:val="30"/>
          <w:szCs w:val="30"/>
          <w:lang w:val="en-US" w:eastAsia="zh-CN" w:bidi="ar-SA"/>
        </w:rPr>
        <w:t>环境影响评价、生态环境损害赔偿、环境应急处置工作选择一至两项</w:t>
      </w:r>
      <w:r>
        <w:rPr>
          <w:rFonts w:hint="eastAsia" w:ascii="方正仿宋简体" w:hAnsi="方正仿宋简体" w:eastAsia="方正仿宋简体" w:cs="方正仿宋简体"/>
          <w:color w:val="auto"/>
          <w:kern w:val="0"/>
          <w:sz w:val="30"/>
          <w:szCs w:val="30"/>
          <w:u w:val="none"/>
          <w:lang w:val="en-US" w:eastAsia="zh-CN" w:bidi="ar-SA"/>
        </w:rPr>
        <w:t>）</w:t>
      </w:r>
      <w:r>
        <w:rPr>
          <w:rFonts w:hint="eastAsia" w:ascii="方正仿宋简体" w:hAnsi="方正仿宋简体" w:eastAsia="方正仿宋简体" w:cs="方正仿宋简体"/>
          <w:color w:val="auto"/>
          <w:kern w:val="0"/>
          <w:sz w:val="30"/>
          <w:szCs w:val="30"/>
          <w:lang w:val="en-US" w:eastAsia="zh-CN" w:bidi="ar-SA"/>
        </w:rPr>
        <w:t>的技术规范和工作程序，坚持实事求是，独立、客观、公正提出意见建议，对出具的意见终身负责；</w:t>
      </w:r>
    </w:p>
    <w:p w14:paraId="426D4744">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三、与鉴定评估对象存在利益关系、法律纠纷，或者受委托参与咨询等情况时，承诺主动提出回避；</w:t>
      </w:r>
    </w:p>
    <w:p w14:paraId="58315CC8">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四、不借参与鉴定评估的机会和便利招揽项目；</w:t>
      </w:r>
    </w:p>
    <w:p w14:paraId="000A0C32">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五、不收受鉴定评估组织方以外的任何单位和个人给予的现金、购物卡、有价证券和其他非正当利益，不参加鉴定评估对象组织的宴请、旅游、社会营业性娱乐活动；</w:t>
      </w:r>
    </w:p>
    <w:p w14:paraId="7823ABE5">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六、严格遵守国家法律、法规和规章制度，履行保密义务，不违规记录、存储、复制相关资料，不以任何方式泄露所接触和知悉的鉴定评估信息，不侵犯相关的著作权、专利权等知识产权；</w:t>
      </w:r>
    </w:p>
    <w:p w14:paraId="6133DE19">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七、及时向生态环境部门反映有关从业单位在生态环境保护工作中的违法违规行为；</w:t>
      </w:r>
    </w:p>
    <w:p w14:paraId="5DBAA9D8">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八、配合生态环境部门处理有关责任方的询问、质疑和投诉；</w:t>
      </w:r>
    </w:p>
    <w:p w14:paraId="59640754">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592" w:firstLineChars="20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九、接受、协助、配合专家库管理部门的监督、检查工作。</w:t>
      </w:r>
    </w:p>
    <w:p w14:paraId="5ADB0951">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420"/>
        <w:jc w:val="left"/>
        <w:textAlignment w:val="auto"/>
        <w:rPr>
          <w:rFonts w:hint="eastAsia"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 xml:space="preserve">违反上述承诺，自愿承担相关法律后果。     </w:t>
      </w:r>
    </w:p>
    <w:p w14:paraId="1DE18F49">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ind w:firstLine="3360"/>
        <w:jc w:val="center"/>
        <w:textAlignment w:val="auto"/>
        <w:rPr>
          <w:rFonts w:hint="eastAsia" w:ascii="方正仿宋简体" w:hAnsi="方正仿宋简体" w:eastAsia="方正仿宋简体" w:cs="方正仿宋简体"/>
          <w:color w:val="424242"/>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专家签名：</w:t>
      </w:r>
    </w:p>
    <w:p w14:paraId="2672828B">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jc w:val="center"/>
        <w:textAlignment w:val="auto"/>
        <w:rPr>
          <w:rFonts w:hint="default" w:ascii="宋体" w:hAnsi="宋体" w:eastAsia="等线" w:cs="Times New Roman"/>
          <w:color w:val="auto"/>
          <w:kern w:val="0"/>
          <w:sz w:val="24"/>
          <w:szCs w:val="21"/>
          <w:lang w:val="en-US" w:eastAsia="zh-CN" w:bidi="ar-SA"/>
        </w:rPr>
      </w:pPr>
      <w:r>
        <w:rPr>
          <w:rFonts w:hint="eastAsia" w:ascii="方正仿宋简体" w:hAnsi="方正仿宋简体" w:eastAsia="方正仿宋简体" w:cs="方正仿宋简体"/>
          <w:color w:val="424242"/>
          <w:kern w:val="0"/>
          <w:sz w:val="30"/>
          <w:szCs w:val="30"/>
          <w:lang w:val="en-US" w:eastAsia="zh-CN" w:bidi="ar-SA"/>
        </w:rPr>
        <w:t xml:space="preserve">                     </w:t>
      </w:r>
      <w:r>
        <w:rPr>
          <w:rFonts w:hint="eastAsia" w:ascii="方正仿宋简体" w:hAnsi="方正仿宋简体" w:eastAsia="方正仿宋简体" w:cs="方正仿宋简体"/>
          <w:color w:val="auto"/>
          <w:kern w:val="0"/>
          <w:sz w:val="30"/>
          <w:szCs w:val="30"/>
          <w:lang w:val="en-US" w:eastAsia="zh-CN" w:bidi="ar-SA"/>
        </w:rPr>
        <w:t xml:space="preserve">  年 月 日</w:t>
      </w:r>
    </w:p>
    <w:p w14:paraId="0D04B868">
      <w:pPr>
        <w:rPr>
          <w:rFonts w:hint="eastAsia" w:ascii="宋体" w:hAnsi="宋体" w:eastAsia="等线" w:cs="Times New Roman"/>
          <w:color w:val="auto"/>
          <w:szCs w:val="21"/>
        </w:rPr>
        <w:sectPr>
          <w:pgSz w:w="11906" w:h="16838"/>
          <w:pgMar w:top="2098" w:right="1474" w:bottom="1984" w:left="1587" w:header="851" w:footer="1587" w:gutter="0"/>
          <w:pgNumType w:fmt="decimal"/>
          <w:cols w:space="0" w:num="1"/>
          <w:rtlGutter w:val="0"/>
          <w:docGrid w:type="linesAndChars" w:linePitch="579" w:charSpace="-842"/>
        </w:sectPr>
      </w:pPr>
    </w:p>
    <w:p w14:paraId="0EDBCE52">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480" w:lineRule="exact"/>
        <w:jc w:val="left"/>
        <w:textAlignment w:val="auto"/>
        <w:rPr>
          <w:rFonts w:hint="default"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附件</w:t>
      </w:r>
      <w:r>
        <w:rPr>
          <w:rFonts w:hint="default" w:ascii="Times New Roman" w:hAnsi="Times New Roman" w:eastAsia="方正仿宋简体" w:cs="Times New Roman"/>
          <w:color w:val="auto"/>
          <w:kern w:val="0"/>
          <w:sz w:val="30"/>
          <w:szCs w:val="30"/>
          <w:lang w:val="en-US" w:eastAsia="zh-CN" w:bidi="ar-SA"/>
        </w:rPr>
        <w:t>3</w:t>
      </w:r>
    </w:p>
    <w:p w14:paraId="48FEB78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jc w:val="center"/>
        <w:textAlignment w:val="auto"/>
      </w:pPr>
      <w:r>
        <w:t>那曲市生态环境保护专家日常考核量化赋分表</w:t>
      </w:r>
    </w:p>
    <w:p w14:paraId="16E9689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textAlignment w:val="auto"/>
      </w:pPr>
    </w:p>
    <w:p w14:paraId="6420118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textAlignment w:val="auto"/>
      </w:pPr>
      <w:r>
        <w:t>专家姓名：__________</w:t>
      </w:r>
      <w:r>
        <w:rPr>
          <w:rFonts w:hint="eastAsia"/>
          <w:u w:val="single"/>
          <w:lang w:val="en-US" w:eastAsia="zh-CN"/>
        </w:rPr>
        <w:t xml:space="preserve">  </w:t>
      </w:r>
      <w:r>
        <w:t>作单位：________________ 联系电话：_____________</w:t>
      </w:r>
      <w:r>
        <w:rPr>
          <w:rFonts w:hint="eastAsia"/>
          <w:u w:val="single"/>
          <w:lang w:val="en-US" w:eastAsia="zh-CN"/>
        </w:rPr>
        <w:t xml:space="preserve">  </w:t>
      </w:r>
      <w:r>
        <w:rPr>
          <w:u w:val="single"/>
        </w:rPr>
        <w:t xml:space="preserve">_ </w:t>
      </w:r>
    </w:p>
    <w:p w14:paraId="41A3818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textAlignment w:val="auto"/>
      </w:pPr>
      <w:r>
        <w:t>任务类型：</w:t>
      </w:r>
      <w:r>
        <w:rPr>
          <w:rFonts w:hint="eastAsia"/>
          <w:lang w:eastAsia="zh-CN"/>
        </w:rPr>
        <w:t>□</w:t>
      </w:r>
      <w:r>
        <w:t>环评技术评审 </w:t>
      </w:r>
      <w:r>
        <w:rPr>
          <w:rFonts w:hint="eastAsia"/>
          <w:lang w:val="en-US" w:eastAsia="zh-CN"/>
        </w:rPr>
        <w:t xml:space="preserve">    </w:t>
      </w:r>
      <w:r>
        <w:rPr>
          <w:rFonts w:hint="eastAsia"/>
          <w:lang w:eastAsia="zh-CN"/>
        </w:rPr>
        <w:t>□</w:t>
      </w:r>
      <w:r>
        <w:t>生态损害赔偿评估 </w:t>
      </w:r>
      <w:r>
        <w:rPr>
          <w:rFonts w:hint="eastAsia"/>
          <w:lang w:val="en-US" w:eastAsia="zh-CN"/>
        </w:rPr>
        <w:t xml:space="preserve">    </w:t>
      </w:r>
      <w:r>
        <w:rPr>
          <w:rFonts w:hint="eastAsia"/>
          <w:lang w:eastAsia="zh-CN"/>
        </w:rPr>
        <w:t>□</w:t>
      </w:r>
      <w:r>
        <w:t>环境应急研判 </w:t>
      </w:r>
    </w:p>
    <w:p w14:paraId="51E0D11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1180" w:firstLineChars="500"/>
        <w:textAlignment w:val="auto"/>
      </w:pPr>
      <w:r>
        <w:rPr>
          <w:rFonts w:hint="eastAsia"/>
          <w:lang w:eastAsia="zh-CN"/>
        </w:rPr>
        <w:t>□</w:t>
      </w:r>
      <w:r>
        <w:t>生态修复方案评审 </w:t>
      </w:r>
      <w:r>
        <w:rPr>
          <w:rFonts w:hint="eastAsia"/>
          <w:lang w:eastAsia="zh-CN"/>
        </w:rPr>
        <w:t>□</w:t>
      </w:r>
      <w:r>
        <w:t xml:space="preserve">其他：________ </w:t>
      </w:r>
    </w:p>
    <w:p w14:paraId="5FEF1CE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textAlignment w:val="auto"/>
      </w:pPr>
      <w:r>
        <w:t>项目 / 事件名称：____________________________________</w:t>
      </w:r>
      <w:r>
        <w:rPr>
          <w:u w:val="single"/>
        </w:rPr>
        <w:t>__</w:t>
      </w:r>
      <w:r>
        <w:rPr>
          <w:rFonts w:hint="eastAsia"/>
          <w:u w:val="single"/>
          <w:lang w:val="en-US" w:eastAsia="zh-CN"/>
        </w:rPr>
        <w:t xml:space="preserve">         </w:t>
      </w:r>
      <w:r>
        <w:rPr>
          <w:u w:val="single"/>
        </w:rPr>
        <w:t>_</w:t>
      </w:r>
      <w:r>
        <w:t xml:space="preserve">_________ </w:t>
      </w:r>
    </w:p>
    <w:p w14:paraId="4A6EF90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textAlignment w:val="auto"/>
        <w:rPr>
          <w:rFonts w:hint="eastAsia" w:ascii="宋体" w:hAnsi="宋体" w:eastAsia="等线" w:cs="Times New Roman"/>
          <w:b w:val="0"/>
          <w:bCs/>
          <w:color w:val="auto"/>
          <w:szCs w:val="21"/>
        </w:rPr>
      </w:pPr>
      <w:r>
        <w:t>技术评估任务组织时间：</w:t>
      </w:r>
      <w:r>
        <w:rPr>
          <w:rStyle w:val="10"/>
          <w:rFonts w:hint="eastAsia"/>
          <w:u w:val="single"/>
          <w:lang w:val="en-US" w:eastAsia="zh-CN"/>
        </w:rPr>
        <w:t xml:space="preserve">                </w:t>
      </w:r>
      <w:r>
        <w:rPr>
          <w:rStyle w:val="10"/>
          <w:rFonts w:hint="eastAsia"/>
          <w:lang w:val="en-US" w:eastAsia="zh-CN"/>
        </w:rPr>
        <w:t xml:space="preserve">      </w:t>
      </w:r>
      <w:r>
        <w:rPr>
          <w:rStyle w:val="10"/>
          <w:b w:val="0"/>
          <w:bCs/>
        </w:rPr>
        <w:t>地点：</w:t>
      </w:r>
      <w:r>
        <w:rPr>
          <w:b w:val="0"/>
          <w:bCs/>
        </w:rPr>
        <w:t>____</w:t>
      </w:r>
      <w:r>
        <w:rPr>
          <w:b w:val="0"/>
          <w:bCs/>
          <w:u w:val="single"/>
        </w:rPr>
        <w:t>____</w:t>
      </w:r>
      <w:r>
        <w:rPr>
          <w:rFonts w:hint="eastAsia"/>
          <w:b w:val="0"/>
          <w:bCs/>
          <w:u w:val="single"/>
          <w:lang w:val="en-US" w:eastAsia="zh-CN"/>
        </w:rPr>
        <w:t xml:space="preserve">            </w:t>
      </w:r>
      <w:r>
        <w:rPr>
          <w:b w:val="0"/>
          <w:bCs/>
          <w:u w:val="single"/>
        </w:rPr>
        <w:t>__</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73"/>
        <w:gridCol w:w="3120"/>
        <w:gridCol w:w="630"/>
        <w:gridCol w:w="548"/>
        <w:gridCol w:w="3614"/>
      </w:tblGrid>
      <w:tr w14:paraId="47415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FA554E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b/>
                <w:bCs/>
              </w:rPr>
            </w:pPr>
            <w:r>
              <w:rPr>
                <w:rFonts w:ascii="宋体" w:hAnsi="宋体" w:eastAsia="宋体" w:cs="宋体"/>
                <w:b/>
                <w:bCs/>
                <w:kern w:val="0"/>
                <w:sz w:val="24"/>
                <w:szCs w:val="24"/>
                <w:lang w:val="en-US" w:eastAsia="zh-CN" w:bidi="ar"/>
              </w:rPr>
              <w:t>考核大类</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5D4D976">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b/>
                <w:bCs/>
              </w:rPr>
            </w:pPr>
            <w:r>
              <w:rPr>
                <w:rFonts w:ascii="宋体" w:hAnsi="宋体" w:eastAsia="宋体" w:cs="宋体"/>
                <w:b/>
                <w:bCs/>
                <w:kern w:val="0"/>
                <w:sz w:val="24"/>
                <w:szCs w:val="24"/>
                <w:lang w:val="en-US" w:eastAsia="zh-CN" w:bidi="ar"/>
              </w:rPr>
              <w:t>考核指标</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5B4060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b/>
                <w:bCs/>
              </w:rPr>
            </w:pPr>
            <w:r>
              <w:rPr>
                <w:rFonts w:ascii="宋体" w:hAnsi="宋体" w:eastAsia="宋体" w:cs="宋体"/>
                <w:b/>
                <w:bCs/>
                <w:kern w:val="0"/>
                <w:sz w:val="24"/>
                <w:szCs w:val="24"/>
                <w:lang w:val="en-US" w:eastAsia="zh-CN" w:bidi="ar"/>
              </w:rPr>
              <w:t>分值</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941F75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b/>
                <w:bCs/>
              </w:rPr>
            </w:pPr>
            <w:r>
              <w:rPr>
                <w:rFonts w:ascii="宋体" w:hAnsi="宋体" w:eastAsia="宋体" w:cs="宋体"/>
                <w:b/>
                <w:bCs/>
                <w:kern w:val="0"/>
                <w:sz w:val="24"/>
                <w:szCs w:val="24"/>
                <w:lang w:val="en-US" w:eastAsia="zh-CN" w:bidi="ar"/>
              </w:rPr>
              <w:t>得分</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264C15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b/>
                <w:bCs/>
              </w:rPr>
            </w:pPr>
            <w:r>
              <w:rPr>
                <w:rFonts w:ascii="宋体" w:hAnsi="宋体" w:eastAsia="宋体" w:cs="宋体"/>
                <w:b/>
                <w:bCs/>
                <w:kern w:val="0"/>
                <w:sz w:val="24"/>
                <w:szCs w:val="24"/>
                <w:lang w:val="en-US" w:eastAsia="zh-CN" w:bidi="ar"/>
              </w:rPr>
              <w:t>考核说明</w:t>
            </w:r>
          </w:p>
        </w:tc>
      </w:tr>
      <w:tr w14:paraId="42362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restart"/>
            <w:tcBorders>
              <w:top w:val="single" w:color="CCCCCC" w:sz="4" w:space="0"/>
              <w:left w:val="single" w:color="CCCCCC" w:sz="4" w:space="0"/>
              <w:right w:val="single" w:color="CCCCCC" w:sz="4" w:space="0"/>
            </w:tcBorders>
            <w:shd w:val="clear" w:color="auto" w:fill="auto"/>
            <w:tcMar>
              <w:top w:w="120" w:type="dxa"/>
              <w:left w:w="120" w:type="dxa"/>
              <w:bottom w:w="120" w:type="dxa"/>
              <w:right w:w="120" w:type="dxa"/>
            </w:tcMar>
            <w:vAlign w:val="center"/>
          </w:tcPr>
          <w:p w14:paraId="0C4A5B1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业务水平（60 分）</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449075F">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意见结合项目及那曲高原地域特点，具备宏观整体性把握，无泛泛通用模板化意见</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8DE193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30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06BF83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7E28B5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优：27</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30；良：18</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26；差：0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17差：意见放之四海而皆准，未结合高原实际</w:t>
            </w:r>
          </w:p>
        </w:tc>
      </w:tr>
      <w:tr w14:paraId="0DB6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vMerge w:val="continue"/>
            <w:tcBorders>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2906477">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宋体" w:eastAsia="宋体"/>
                <w:sz w:val="24"/>
                <w:szCs w:val="24"/>
                <w:lang w:val="en-US" w:eastAsia="zh-CN"/>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8C3253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提出技术意见科学合理，具备针对性、可操作性</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F39490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30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2BF965D">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E91E6C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优：27</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30；良：18</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26；差：0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17差：意见空泛、不具备落地可行性</w:t>
            </w:r>
          </w:p>
        </w:tc>
      </w:tr>
      <w:tr w14:paraId="60623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32BD46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工作态度（30 分）</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7BA6DD5">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提前阅研技术材料，按时提交个人审查意见，独立出具意见，立场明确</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1F6FAB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30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C2E601A">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24F6CAE">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优：21</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30；良：12</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20；差：0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11差：无独立意见，逾期提交、敷衍应付</w:t>
            </w:r>
          </w:p>
        </w:tc>
      </w:tr>
      <w:tr w14:paraId="06ED6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A03D89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纪律执行（10 分）</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9EC100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遵守回避、保密、参会、现场调度等工作纪律</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D3282B9">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10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E0E677B">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32E3D7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出现回避应避未避、泄密、无故缺席直接记 0 分</w:t>
            </w:r>
          </w:p>
        </w:tc>
      </w:tr>
      <w:tr w14:paraId="33602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7FAF53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合计总分</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E025D1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4941517">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pPr>
            <w:r>
              <w:rPr>
                <w:rFonts w:ascii="宋体" w:hAnsi="宋体" w:eastAsia="宋体" w:cs="宋体"/>
                <w:kern w:val="0"/>
                <w:sz w:val="24"/>
                <w:szCs w:val="24"/>
                <w:lang w:val="en-US" w:eastAsia="zh-CN" w:bidi="ar"/>
              </w:rPr>
              <w:t>100</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9CF4C76">
            <w:pPr>
              <w:keepNext w:val="0"/>
              <w:keepLines w:val="0"/>
              <w:pageBreakBefore w:val="0"/>
              <w:widowControl/>
              <w:kinsoku/>
              <w:wordWrap/>
              <w:overflowPunct/>
              <w:topLinePunct w:val="0"/>
              <w:autoSpaceDE/>
              <w:autoSpaceDN/>
              <w:bidi w:val="0"/>
              <w:adjustRightInd/>
              <w:snapToGrid/>
              <w:spacing w:line="300" w:lineRule="exact"/>
              <w:jc w:val="left"/>
              <w:textAlignment w:val="auto"/>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0ED256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auto"/>
              <w:rPr>
                <w:rFonts w:hint="eastAsia" w:ascii="宋体"/>
                <w:sz w:val="24"/>
                <w:szCs w:val="24"/>
              </w:rPr>
            </w:pPr>
            <w:r>
              <w:rPr>
                <w:rFonts w:ascii="宋体" w:hAnsi="宋体" w:eastAsia="宋体" w:cs="宋体"/>
                <w:kern w:val="0"/>
                <w:sz w:val="24"/>
                <w:szCs w:val="24"/>
                <w:lang w:val="en-US" w:eastAsia="zh-CN" w:bidi="ar"/>
              </w:rPr>
              <w:t>等次判定：85</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100分为优秀；70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84 分为良好；60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69 分为合格；60 分以下为差。</w:t>
            </w:r>
          </w:p>
        </w:tc>
      </w:tr>
    </w:tbl>
    <w:p w14:paraId="50A6B93C">
      <w:pPr>
        <w:keepNext w:val="0"/>
        <w:keepLines w:val="0"/>
        <w:pageBreakBefore w:val="0"/>
        <w:kinsoku/>
        <w:wordWrap/>
        <w:overflowPunct/>
        <w:topLinePunct w:val="0"/>
        <w:autoSpaceDE/>
        <w:autoSpaceDN/>
        <w:bidi w:val="0"/>
        <w:adjustRightInd/>
        <w:snapToGrid/>
        <w:spacing w:beforeAutospacing="0" w:afterAutospacing="0" w:line="440" w:lineRule="exact"/>
        <w:textAlignment w:val="auto"/>
        <w:rPr>
          <w:rFonts w:ascii="宋体" w:hAnsi="宋体" w:eastAsia="宋体" w:cs="宋体"/>
          <w:sz w:val="24"/>
          <w:szCs w:val="24"/>
        </w:rPr>
      </w:pPr>
    </w:p>
    <w:p w14:paraId="44C94F0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pPr>
      <w:r>
        <w:t>存在问题记录：________________________________________________________</w:t>
      </w:r>
    </w:p>
    <w:p w14:paraId="488F1CC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pPr>
      <w:r>
        <w:t>专家确认（可对考核情况发表意见）：______________________________________</w:t>
      </w:r>
    </w:p>
    <w:p w14:paraId="1CCBD6C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textAlignment w:val="auto"/>
      </w:pPr>
      <w:r>
        <w:t>技术评估项目负责人（签名）：____________ 考核日期：_______年____月____日</w:t>
      </w:r>
    </w:p>
    <w:p w14:paraId="459D093B">
      <w:pPr>
        <w:keepNext w:val="0"/>
        <w:keepLines w:val="0"/>
        <w:pageBreakBefore w:val="0"/>
        <w:kinsoku/>
        <w:wordWrap/>
        <w:overflowPunct/>
        <w:topLinePunct w:val="0"/>
        <w:autoSpaceDE/>
        <w:autoSpaceDN/>
        <w:bidi w:val="0"/>
        <w:adjustRightInd/>
        <w:snapToGrid/>
        <w:spacing w:beforeAutospacing="0" w:afterAutospacing="0" w:line="560" w:lineRule="exact"/>
        <w:textAlignment w:val="auto"/>
        <w:rPr>
          <w:rFonts w:hint="eastAsia" w:ascii="宋体" w:hAnsi="宋体" w:eastAsia="宋体" w:cs="宋体"/>
          <w:sz w:val="24"/>
          <w:szCs w:val="24"/>
        </w:rPr>
        <w:sectPr>
          <w:pgSz w:w="11906" w:h="16838"/>
          <w:pgMar w:top="2098" w:right="1474" w:bottom="1984" w:left="1587" w:header="851" w:footer="1587" w:gutter="0"/>
          <w:pgNumType w:fmt="decimal"/>
          <w:cols w:space="0" w:num="1"/>
          <w:rtlGutter w:val="0"/>
          <w:docGrid w:type="linesAndChars" w:linePitch="579" w:charSpace="-842"/>
        </w:sectPr>
      </w:pPr>
    </w:p>
    <w:p w14:paraId="29829FDD">
      <w:pPr>
        <w:keepNext w:val="0"/>
        <w:keepLines w:val="0"/>
        <w:pageBreakBefore w:val="0"/>
        <w:widowControl/>
        <w:suppressAutoHyphens/>
        <w:kinsoku/>
        <w:wordWrap/>
        <w:overflowPunct/>
        <w:topLinePunct w:val="0"/>
        <w:autoSpaceDE/>
        <w:autoSpaceDN/>
        <w:bidi w:val="0"/>
        <w:adjustRightInd w:val="0"/>
        <w:snapToGrid w:val="0"/>
        <w:spacing w:before="0" w:beforeAutospacing="0" w:after="0" w:afterAutospacing="0" w:line="540" w:lineRule="exact"/>
        <w:jc w:val="left"/>
        <w:textAlignment w:val="auto"/>
        <w:rPr>
          <w:rFonts w:hint="default" w:ascii="方正仿宋简体" w:hAnsi="方正仿宋简体" w:eastAsia="方正仿宋简体" w:cs="方正仿宋简体"/>
          <w:color w:val="auto"/>
          <w:kern w:val="0"/>
          <w:sz w:val="30"/>
          <w:szCs w:val="30"/>
          <w:lang w:val="en-US" w:eastAsia="zh-CN" w:bidi="ar-SA"/>
        </w:rPr>
      </w:pPr>
      <w:r>
        <w:rPr>
          <w:rFonts w:hint="eastAsia" w:ascii="方正仿宋简体" w:hAnsi="方正仿宋简体" w:eastAsia="方正仿宋简体" w:cs="方正仿宋简体"/>
          <w:color w:val="auto"/>
          <w:kern w:val="0"/>
          <w:sz w:val="30"/>
          <w:szCs w:val="30"/>
          <w:lang w:val="en-US" w:eastAsia="zh-CN" w:bidi="ar-SA"/>
        </w:rPr>
        <w:t>附件</w:t>
      </w:r>
      <w:r>
        <w:rPr>
          <w:rFonts w:hint="eastAsia" w:ascii="Times New Roman" w:hAnsi="Times New Roman" w:eastAsia="方正仿宋简体" w:cs="Times New Roman"/>
          <w:color w:val="auto"/>
          <w:kern w:val="0"/>
          <w:sz w:val="30"/>
          <w:szCs w:val="30"/>
          <w:lang w:val="en-US" w:eastAsia="zh-CN" w:bidi="ar-SA"/>
        </w:rPr>
        <w:t>4</w:t>
      </w:r>
    </w:p>
    <w:p w14:paraId="25447A24">
      <w:pPr>
        <w:pStyle w:val="3"/>
        <w:keepNext w:val="0"/>
        <w:keepLines w:val="0"/>
        <w:pageBreakBefore w:val="0"/>
        <w:widowControl/>
        <w:suppressLineNumbers w:val="0"/>
        <w:kinsoku/>
        <w:wordWrap/>
        <w:overflowPunct/>
        <w:topLinePunct w:val="0"/>
        <w:autoSpaceDE/>
        <w:autoSpaceDN/>
        <w:bidi w:val="0"/>
        <w:spacing w:beforeAutospacing="0" w:afterAutospacing="0" w:line="540" w:lineRule="exact"/>
        <w:jc w:val="center"/>
        <w:textAlignment w:val="auto"/>
      </w:pPr>
      <w:r>
        <w:t>那曲市生态环境保护专家库专家日常考核汇总表</w:t>
      </w:r>
    </w:p>
    <w:p w14:paraId="4EF0F2AE">
      <w:pPr>
        <w:pStyle w:val="7"/>
        <w:keepNext w:val="0"/>
        <w:keepLines w:val="0"/>
        <w:pageBreakBefore w:val="0"/>
        <w:widowControl/>
        <w:suppressLineNumbers w:val="0"/>
        <w:kinsoku/>
        <w:wordWrap/>
        <w:overflowPunct/>
        <w:topLinePunct w:val="0"/>
        <w:autoSpaceDE/>
        <w:autoSpaceDN/>
        <w:bidi w:val="0"/>
        <w:spacing w:beforeAutospacing="0" w:afterAutospacing="0" w:line="540" w:lineRule="exact"/>
        <w:textAlignment w:val="auto"/>
      </w:pPr>
      <w:r>
        <w:t xml:space="preserve">填报部门（盖章）：那曲市环境工程评估中心 </w:t>
      </w:r>
      <w:r>
        <w:rPr>
          <w:rFonts w:hint="eastAsia"/>
          <w:lang w:val="en-US" w:eastAsia="zh-CN"/>
        </w:rPr>
        <w:t xml:space="preserve">                     </w:t>
      </w:r>
      <w:r>
        <w:t>统计周期：_______年____月 — _______年____月</w:t>
      </w:r>
    </w:p>
    <w:p w14:paraId="5105B352">
      <w:pPr>
        <w:keepNext w:val="0"/>
        <w:keepLines w:val="0"/>
        <w:pageBreakBefore w:val="0"/>
        <w:kinsoku/>
        <w:wordWrap/>
        <w:overflowPunct/>
        <w:topLinePunct w:val="0"/>
        <w:autoSpaceDE/>
        <w:autoSpaceDN/>
        <w:bidi w:val="0"/>
        <w:adjustRightInd/>
        <w:snapToGrid/>
        <w:spacing w:beforeAutospacing="0" w:afterAutospacing="0" w:line="540" w:lineRule="exact"/>
        <w:textAlignment w:val="auto"/>
        <w:rPr>
          <w:rFonts w:hint="eastAsia"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填报人：</w:t>
      </w:r>
      <w:r>
        <w:rPr>
          <w:rFonts w:hint="eastAsia" w:cstheme="minorBidi"/>
          <w:kern w:val="0"/>
          <w:sz w:val="24"/>
          <w:szCs w:val="24"/>
          <w:u w:val="single"/>
          <w:lang w:val="en-US" w:eastAsia="zh-CN" w:bidi="ar"/>
        </w:rPr>
        <w:t xml:space="preserve">                </w:t>
      </w:r>
      <w:r>
        <w:rPr>
          <w:rFonts w:asciiTheme="minorHAnsi" w:hAnsiTheme="minorHAnsi" w:eastAsiaTheme="minorEastAsia" w:cstheme="minorBidi"/>
          <w:kern w:val="0"/>
          <w:sz w:val="24"/>
          <w:szCs w:val="24"/>
          <w:lang w:val="en-US" w:eastAsia="zh-CN" w:bidi="ar"/>
        </w:rPr>
        <w:t xml:space="preserve"> </w:t>
      </w:r>
      <w:r>
        <w:rPr>
          <w:rFonts w:hint="eastAsia" w:cstheme="minorBidi"/>
          <w:kern w:val="0"/>
          <w:sz w:val="24"/>
          <w:szCs w:val="24"/>
          <w:lang w:val="en-US" w:eastAsia="zh-CN" w:bidi="ar"/>
        </w:rPr>
        <w:t xml:space="preserve">   </w:t>
      </w:r>
      <w:r>
        <w:rPr>
          <w:rFonts w:asciiTheme="minorHAnsi" w:hAnsiTheme="minorHAnsi" w:eastAsiaTheme="minorEastAsia" w:cstheme="minorBidi"/>
          <w:kern w:val="0"/>
          <w:sz w:val="24"/>
          <w:szCs w:val="24"/>
          <w:lang w:val="en-US" w:eastAsia="zh-CN" w:bidi="ar"/>
        </w:rPr>
        <w:t>审核人：</w:t>
      </w:r>
      <w:r>
        <w:rPr>
          <w:rFonts w:hint="eastAsia" w:cstheme="minorBidi"/>
          <w:kern w:val="0"/>
          <w:sz w:val="24"/>
          <w:szCs w:val="24"/>
          <w:u w:val="single"/>
          <w:lang w:val="en-US" w:eastAsia="zh-CN" w:bidi="ar"/>
        </w:rPr>
        <w:t xml:space="preserve">                     </w:t>
      </w:r>
      <w:r>
        <w:rPr>
          <w:rFonts w:asciiTheme="minorHAnsi" w:hAnsiTheme="minorHAnsi" w:eastAsiaTheme="minorEastAsia" w:cstheme="minorBidi"/>
          <w:kern w:val="0"/>
          <w:sz w:val="24"/>
          <w:szCs w:val="24"/>
          <w:u w:val="single"/>
          <w:lang w:val="en-US" w:eastAsia="zh-CN" w:bidi="ar"/>
        </w:rPr>
        <w:t xml:space="preserve"> </w:t>
      </w:r>
      <w:r>
        <w:rPr>
          <w:rFonts w:hint="eastAsia" w:cstheme="minorBidi"/>
          <w:kern w:val="0"/>
          <w:sz w:val="24"/>
          <w:szCs w:val="24"/>
          <w:u w:val="single"/>
          <w:lang w:val="en-US" w:eastAsia="zh-CN" w:bidi="ar"/>
        </w:rPr>
        <w:t xml:space="preserve"> </w:t>
      </w:r>
      <w:r>
        <w:rPr>
          <w:rFonts w:hint="eastAsia" w:cstheme="minorBidi"/>
          <w:kern w:val="0"/>
          <w:sz w:val="24"/>
          <w:szCs w:val="24"/>
          <w:lang w:val="en-US" w:eastAsia="zh-CN" w:bidi="ar"/>
        </w:rPr>
        <w:t xml:space="preserve">   </w:t>
      </w:r>
      <w:r>
        <w:rPr>
          <w:rFonts w:asciiTheme="minorHAnsi" w:hAnsiTheme="minorHAnsi" w:eastAsiaTheme="minorEastAsia" w:cstheme="minorBidi"/>
          <w:kern w:val="0"/>
          <w:sz w:val="24"/>
          <w:szCs w:val="24"/>
          <w:lang w:val="en-US" w:eastAsia="zh-CN" w:bidi="ar"/>
        </w:rPr>
        <w:t>填报日期：</w:t>
      </w:r>
      <w:r>
        <w:rPr>
          <w:rFonts w:hint="eastAsia" w:cstheme="minorBidi"/>
          <w:kern w:val="0"/>
          <w:sz w:val="24"/>
          <w:szCs w:val="24"/>
          <w:u w:val="single"/>
          <w:lang w:val="en-US" w:eastAsia="zh-CN" w:bidi="ar"/>
        </w:rPr>
        <w:t xml:space="preserve">       </w:t>
      </w:r>
      <w:r>
        <w:rPr>
          <w:rFonts w:asciiTheme="minorHAnsi" w:hAnsiTheme="minorHAnsi" w:eastAsiaTheme="minorEastAsia" w:cstheme="minorBidi"/>
          <w:kern w:val="0"/>
          <w:sz w:val="24"/>
          <w:szCs w:val="24"/>
          <w:lang w:val="en-US" w:eastAsia="zh-CN" w:bidi="ar"/>
        </w:rPr>
        <w:t>年</w:t>
      </w:r>
      <w:r>
        <w:rPr>
          <w:rFonts w:hint="eastAsia" w:cstheme="minorBidi"/>
          <w:kern w:val="0"/>
          <w:sz w:val="24"/>
          <w:szCs w:val="24"/>
          <w:u w:val="single"/>
          <w:lang w:val="en-US" w:eastAsia="zh-CN" w:bidi="ar"/>
        </w:rPr>
        <w:t xml:space="preserve">    </w:t>
      </w:r>
      <w:r>
        <w:rPr>
          <w:rFonts w:asciiTheme="minorHAnsi" w:hAnsiTheme="minorHAnsi" w:eastAsiaTheme="minorEastAsia" w:cstheme="minorBidi"/>
          <w:kern w:val="0"/>
          <w:sz w:val="24"/>
          <w:szCs w:val="24"/>
          <w:lang w:val="en-US" w:eastAsia="zh-CN" w:bidi="ar"/>
        </w:rPr>
        <w:t>月____日</w:t>
      </w:r>
    </w:p>
    <w:tbl>
      <w:tblPr>
        <w:tblStyle w:val="8"/>
        <w:tblW w:w="518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663"/>
        <w:gridCol w:w="1011"/>
        <w:gridCol w:w="996"/>
        <w:gridCol w:w="996"/>
        <w:gridCol w:w="1562"/>
        <w:gridCol w:w="996"/>
        <w:gridCol w:w="996"/>
        <w:gridCol w:w="996"/>
        <w:gridCol w:w="1185"/>
        <w:gridCol w:w="1610"/>
        <w:gridCol w:w="2474"/>
      </w:tblGrid>
      <w:tr w14:paraId="24CBB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46"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C3824C1">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序号</w:t>
            </w:r>
          </w:p>
        </w:tc>
        <w:tc>
          <w:tcPr>
            <w:tcW w:w="375"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6DF89CD">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专家姓名</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287BE1C">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工作单位</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5DC059A">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专业领域</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4F1F01C">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参与任务总次数</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D470ED7">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优秀次数</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7552014">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良好次数</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B0CE2A0">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合格次数</w:t>
            </w: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74D9344">
            <w:pPr>
              <w:keepNext w:val="0"/>
              <w:keepLines w:val="0"/>
              <w:widowControl/>
              <w:suppressLineNumbers w:val="0"/>
              <w:jc w:val="center"/>
              <w:rPr>
                <w:b/>
                <w:bCs/>
                <w:w w:val="80"/>
              </w:rPr>
            </w:pPr>
            <w:r>
              <w:rPr>
                <w:rFonts w:hint="eastAsia" w:ascii="宋体" w:hAnsi="宋体" w:eastAsia="宋体" w:cs="宋体"/>
                <w:b/>
                <w:bCs/>
                <w:w w:val="80"/>
                <w:kern w:val="0"/>
                <w:sz w:val="24"/>
                <w:szCs w:val="24"/>
                <w:lang w:val="en-US" w:eastAsia="zh-CN" w:bidi="ar"/>
              </w:rPr>
              <w:t>不合格</w:t>
            </w:r>
            <w:r>
              <w:rPr>
                <w:rFonts w:ascii="宋体" w:hAnsi="宋体" w:eastAsia="宋体" w:cs="宋体"/>
                <w:b/>
                <w:bCs/>
                <w:w w:val="80"/>
                <w:kern w:val="0"/>
                <w:sz w:val="24"/>
                <w:szCs w:val="24"/>
                <w:lang w:val="en-US" w:eastAsia="zh-CN" w:bidi="ar"/>
              </w:rPr>
              <w:t>次数</w:t>
            </w:r>
          </w:p>
        </w:tc>
        <w:tc>
          <w:tcPr>
            <w:tcW w:w="59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743154D">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约谈提醒记录</w:t>
            </w:r>
          </w:p>
        </w:tc>
        <w:tc>
          <w:tcPr>
            <w:tcW w:w="91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BBC10A9">
            <w:pPr>
              <w:keepNext w:val="0"/>
              <w:keepLines w:val="0"/>
              <w:widowControl/>
              <w:suppressLineNumbers w:val="0"/>
              <w:jc w:val="center"/>
              <w:rPr>
                <w:b/>
                <w:bCs/>
                <w:w w:val="80"/>
              </w:rPr>
            </w:pPr>
            <w:r>
              <w:rPr>
                <w:rFonts w:ascii="宋体" w:hAnsi="宋体" w:eastAsia="宋体" w:cs="宋体"/>
                <w:b/>
                <w:bCs/>
                <w:w w:val="80"/>
                <w:kern w:val="0"/>
                <w:sz w:val="24"/>
                <w:szCs w:val="24"/>
                <w:lang w:val="en-US" w:eastAsia="zh-CN" w:bidi="ar"/>
              </w:rPr>
              <w:t>备注（延聘 / 出库等）</w:t>
            </w:r>
          </w:p>
        </w:tc>
      </w:tr>
      <w:tr w14:paraId="5B849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6"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38F6B20">
            <w:pPr>
              <w:keepNext w:val="0"/>
              <w:keepLines w:val="0"/>
              <w:widowControl/>
              <w:suppressLineNumbers w:val="0"/>
              <w:jc w:val="center"/>
            </w:pPr>
            <w:r>
              <w:rPr>
                <w:rFonts w:ascii="宋体" w:hAnsi="宋体" w:eastAsia="宋体" w:cs="宋体"/>
                <w:kern w:val="0"/>
                <w:sz w:val="24"/>
                <w:szCs w:val="24"/>
                <w:lang w:val="en-US" w:eastAsia="zh-CN" w:bidi="ar"/>
              </w:rPr>
              <w:t>1</w:t>
            </w:r>
          </w:p>
        </w:tc>
        <w:tc>
          <w:tcPr>
            <w:tcW w:w="375"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35D1A58">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5F4A087">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254AC95">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AEB744D">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3E205CE">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188E624">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F82B7B8">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AA4AECA">
            <w:pPr>
              <w:jc w:val="center"/>
              <w:rPr>
                <w:rFonts w:hint="eastAsia" w:ascii="宋体"/>
                <w:sz w:val="24"/>
                <w:szCs w:val="24"/>
              </w:rPr>
            </w:pPr>
          </w:p>
        </w:tc>
        <w:tc>
          <w:tcPr>
            <w:tcW w:w="59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4749E41">
            <w:pPr>
              <w:jc w:val="center"/>
              <w:rPr>
                <w:rFonts w:hint="eastAsia" w:ascii="宋体"/>
                <w:sz w:val="24"/>
                <w:szCs w:val="24"/>
              </w:rPr>
            </w:pPr>
          </w:p>
        </w:tc>
        <w:tc>
          <w:tcPr>
            <w:tcW w:w="91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85507CD">
            <w:pPr>
              <w:jc w:val="center"/>
              <w:rPr>
                <w:rFonts w:hint="eastAsia" w:ascii="宋体"/>
                <w:sz w:val="24"/>
                <w:szCs w:val="24"/>
              </w:rPr>
            </w:pPr>
          </w:p>
        </w:tc>
      </w:tr>
      <w:tr w14:paraId="63E46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6"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D26A4DF">
            <w:pPr>
              <w:keepNext w:val="0"/>
              <w:keepLines w:val="0"/>
              <w:widowControl/>
              <w:suppressLineNumbers w:val="0"/>
              <w:jc w:val="center"/>
            </w:pPr>
            <w:r>
              <w:rPr>
                <w:rFonts w:ascii="宋体" w:hAnsi="宋体" w:eastAsia="宋体" w:cs="宋体"/>
                <w:kern w:val="0"/>
                <w:sz w:val="24"/>
                <w:szCs w:val="24"/>
                <w:lang w:val="en-US" w:eastAsia="zh-CN" w:bidi="ar"/>
              </w:rPr>
              <w:t>2</w:t>
            </w:r>
          </w:p>
        </w:tc>
        <w:tc>
          <w:tcPr>
            <w:tcW w:w="375"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3BF6EF9">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6541F2B">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731225C">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05C1AB3">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9AA8C11">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F44D1DF">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48F4003">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A55A9A9">
            <w:pPr>
              <w:jc w:val="center"/>
              <w:rPr>
                <w:rFonts w:hint="eastAsia" w:ascii="宋体"/>
                <w:sz w:val="24"/>
                <w:szCs w:val="24"/>
              </w:rPr>
            </w:pPr>
          </w:p>
        </w:tc>
        <w:tc>
          <w:tcPr>
            <w:tcW w:w="59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76D40D8">
            <w:pPr>
              <w:jc w:val="center"/>
              <w:rPr>
                <w:rFonts w:hint="eastAsia" w:ascii="宋体"/>
                <w:sz w:val="24"/>
                <w:szCs w:val="24"/>
              </w:rPr>
            </w:pPr>
          </w:p>
        </w:tc>
        <w:tc>
          <w:tcPr>
            <w:tcW w:w="91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9DD4DD0">
            <w:pPr>
              <w:jc w:val="center"/>
              <w:rPr>
                <w:rFonts w:hint="eastAsia" w:ascii="宋体"/>
                <w:sz w:val="24"/>
                <w:szCs w:val="24"/>
              </w:rPr>
            </w:pPr>
          </w:p>
        </w:tc>
      </w:tr>
      <w:tr w14:paraId="1ACAE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6"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82621D6">
            <w:pPr>
              <w:keepNext w:val="0"/>
              <w:keepLines w:val="0"/>
              <w:widowControl/>
              <w:suppressLineNumbers w:val="0"/>
              <w:jc w:val="center"/>
            </w:pPr>
            <w:r>
              <w:rPr>
                <w:rFonts w:ascii="宋体" w:hAnsi="宋体" w:eastAsia="宋体" w:cs="宋体"/>
                <w:kern w:val="0"/>
                <w:sz w:val="24"/>
                <w:szCs w:val="24"/>
                <w:lang w:val="en-US" w:eastAsia="zh-CN" w:bidi="ar"/>
              </w:rPr>
              <w:t>3</w:t>
            </w:r>
          </w:p>
        </w:tc>
        <w:tc>
          <w:tcPr>
            <w:tcW w:w="375"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1998B81">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F187A1A">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BBCBF5D">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4C30B5E">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496034E">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548343C">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F422B6C">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799D07D">
            <w:pPr>
              <w:jc w:val="center"/>
              <w:rPr>
                <w:rFonts w:hint="eastAsia" w:ascii="宋体"/>
                <w:sz w:val="24"/>
                <w:szCs w:val="24"/>
              </w:rPr>
            </w:pPr>
          </w:p>
        </w:tc>
        <w:tc>
          <w:tcPr>
            <w:tcW w:w="59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E599080">
            <w:pPr>
              <w:jc w:val="center"/>
              <w:rPr>
                <w:rFonts w:hint="eastAsia" w:ascii="宋体"/>
                <w:sz w:val="24"/>
                <w:szCs w:val="24"/>
              </w:rPr>
            </w:pPr>
          </w:p>
        </w:tc>
        <w:tc>
          <w:tcPr>
            <w:tcW w:w="91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D24FF42">
            <w:pPr>
              <w:jc w:val="center"/>
              <w:rPr>
                <w:rFonts w:hint="eastAsia" w:ascii="宋体"/>
                <w:sz w:val="24"/>
                <w:szCs w:val="24"/>
              </w:rPr>
            </w:pPr>
          </w:p>
        </w:tc>
      </w:tr>
      <w:tr w14:paraId="68CDC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46"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25439C46">
            <w:pPr>
              <w:keepNext w:val="0"/>
              <w:keepLines w:val="0"/>
              <w:widowControl/>
              <w:suppressLineNumbers w:val="0"/>
              <w:jc w:val="center"/>
            </w:pPr>
            <w:r>
              <w:rPr>
                <w:rFonts w:ascii="宋体" w:hAnsi="宋体" w:eastAsia="宋体" w:cs="宋体"/>
                <w:kern w:val="0"/>
                <w:sz w:val="24"/>
                <w:szCs w:val="24"/>
                <w:lang w:val="en-US" w:eastAsia="zh-CN" w:bidi="ar"/>
              </w:rPr>
              <w:t>4</w:t>
            </w:r>
          </w:p>
        </w:tc>
        <w:tc>
          <w:tcPr>
            <w:tcW w:w="375"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EE7E08F">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5B1BF95A">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D4F7F0E">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01E26A7">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84B5807">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8B4D068">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DEF4DC7">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9709727">
            <w:pPr>
              <w:jc w:val="center"/>
              <w:rPr>
                <w:rFonts w:hint="eastAsia" w:ascii="宋体"/>
                <w:sz w:val="24"/>
                <w:szCs w:val="24"/>
              </w:rPr>
            </w:pPr>
          </w:p>
        </w:tc>
        <w:tc>
          <w:tcPr>
            <w:tcW w:w="59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306BB8FE">
            <w:pPr>
              <w:jc w:val="center"/>
              <w:rPr>
                <w:rFonts w:hint="eastAsia" w:ascii="宋体"/>
                <w:sz w:val="24"/>
                <w:szCs w:val="24"/>
              </w:rPr>
            </w:pPr>
          </w:p>
        </w:tc>
        <w:tc>
          <w:tcPr>
            <w:tcW w:w="91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06F5440">
            <w:pPr>
              <w:jc w:val="center"/>
              <w:rPr>
                <w:rFonts w:hint="eastAsia" w:ascii="宋体"/>
                <w:sz w:val="24"/>
                <w:szCs w:val="24"/>
              </w:rPr>
            </w:pPr>
          </w:p>
        </w:tc>
      </w:tr>
      <w:tr w14:paraId="05D1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6"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F7C1A2A">
            <w:pPr>
              <w:keepNext w:val="0"/>
              <w:keepLines w:val="0"/>
              <w:widowControl/>
              <w:suppressLineNumbers w:val="0"/>
              <w:jc w:val="center"/>
            </w:pPr>
            <w:r>
              <w:rPr>
                <w:rFonts w:ascii="宋体" w:hAnsi="宋体" w:eastAsia="宋体" w:cs="宋体"/>
                <w:kern w:val="0"/>
                <w:sz w:val="24"/>
                <w:szCs w:val="24"/>
                <w:lang w:val="en-US" w:eastAsia="zh-CN" w:bidi="ar"/>
              </w:rPr>
              <w:t>5</w:t>
            </w:r>
          </w:p>
        </w:tc>
        <w:tc>
          <w:tcPr>
            <w:tcW w:w="375"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6D5265FA">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3F6D2F7">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4B1BDA5">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6C06F15">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1A6CC6A9">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0A80679">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BACF0C8">
            <w:pPr>
              <w:jc w:val="center"/>
              <w:rPr>
                <w:rFonts w:hint="eastAsia" w:ascii="宋体"/>
                <w:sz w:val="24"/>
                <w:szCs w:val="24"/>
              </w:rPr>
            </w:pPr>
          </w:p>
        </w:tc>
        <w:tc>
          <w:tcPr>
            <w:tcW w:w="0" w:type="auto"/>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04ADD353">
            <w:pPr>
              <w:jc w:val="center"/>
              <w:rPr>
                <w:rFonts w:hint="eastAsia" w:ascii="宋体"/>
                <w:sz w:val="24"/>
                <w:szCs w:val="24"/>
              </w:rPr>
            </w:pPr>
          </w:p>
        </w:tc>
        <w:tc>
          <w:tcPr>
            <w:tcW w:w="59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46AA2676">
            <w:pPr>
              <w:jc w:val="center"/>
              <w:rPr>
                <w:rFonts w:hint="eastAsia" w:ascii="宋体"/>
                <w:sz w:val="24"/>
                <w:szCs w:val="24"/>
              </w:rPr>
            </w:pPr>
          </w:p>
        </w:tc>
        <w:tc>
          <w:tcPr>
            <w:tcW w:w="917" w:type="pct"/>
            <w:tcBorders>
              <w:top w:val="single" w:color="CCCCCC" w:sz="4" w:space="0"/>
              <w:left w:val="single" w:color="CCCCCC" w:sz="4" w:space="0"/>
              <w:bottom w:val="single" w:color="CCCCCC" w:sz="4" w:space="0"/>
              <w:right w:val="single" w:color="CCCCCC" w:sz="4" w:space="0"/>
            </w:tcBorders>
            <w:shd w:val="clear" w:color="auto" w:fill="auto"/>
            <w:tcMar>
              <w:top w:w="120" w:type="dxa"/>
              <w:left w:w="120" w:type="dxa"/>
              <w:bottom w:w="120" w:type="dxa"/>
              <w:right w:w="120" w:type="dxa"/>
            </w:tcMar>
            <w:vAlign w:val="center"/>
          </w:tcPr>
          <w:p w14:paraId="7B22CA4B">
            <w:pPr>
              <w:jc w:val="center"/>
              <w:rPr>
                <w:rFonts w:hint="eastAsia" w:ascii="宋体"/>
                <w:sz w:val="24"/>
                <w:szCs w:val="24"/>
              </w:rPr>
            </w:pPr>
          </w:p>
        </w:tc>
      </w:tr>
    </w:tbl>
    <w:p w14:paraId="5B27CD4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textAlignment w:val="auto"/>
      </w:pPr>
      <w:r>
        <w:t>填表说明：</w:t>
      </w:r>
    </w:p>
    <w:p w14:paraId="480AA43A">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720" w:hanging="360"/>
        <w:textAlignment w:val="auto"/>
      </w:pPr>
      <w:r>
        <w:t>本表汇总专家历次日常考核结果，作为专家续用、约谈、出库重要依据；</w:t>
      </w:r>
    </w:p>
    <w:p w14:paraId="2EC77717">
      <w:pPr>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60" w:lineRule="exact"/>
        <w:ind w:left="720" w:hanging="360"/>
        <w:textAlignment w:val="auto"/>
      </w:pPr>
      <w:r>
        <w:t>“备注” 栏填写稀缺人才延聘、申请退出、移出专家库等情况。</w:t>
      </w:r>
    </w:p>
    <w:p w14:paraId="61D840E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exact"/>
        <w:textAlignment w:val="auto"/>
      </w:pPr>
    </w:p>
    <w:p w14:paraId="4546F491">
      <w:pPr>
        <w:keepNext w:val="0"/>
        <w:keepLines w:val="0"/>
        <w:pageBreakBefore w:val="0"/>
        <w:kinsoku/>
        <w:wordWrap/>
        <w:overflowPunct/>
        <w:topLinePunct w:val="0"/>
        <w:autoSpaceDE/>
        <w:autoSpaceDN/>
        <w:bidi w:val="0"/>
        <w:adjustRightInd/>
        <w:snapToGrid/>
        <w:spacing w:beforeAutospacing="0" w:afterAutospacing="0" w:line="360" w:lineRule="exact"/>
        <w:textAlignment w:val="auto"/>
        <w:rPr>
          <w:rFonts w:hint="eastAsia" w:ascii="宋体" w:hAnsi="宋体" w:eastAsia="宋体" w:cs="宋体"/>
          <w:sz w:val="24"/>
          <w:szCs w:val="24"/>
        </w:rPr>
        <w:sectPr>
          <w:pgSz w:w="16838" w:h="11906" w:orient="landscape"/>
          <w:pgMar w:top="1587" w:right="2098" w:bottom="1474" w:left="1984" w:header="851" w:footer="1587" w:gutter="0"/>
          <w:pgNumType w:fmt="decimal"/>
          <w:cols w:space="0" w:num="1"/>
          <w:rtlGutter w:val="0"/>
          <w:docGrid w:type="linesAndChars" w:linePitch="579" w:charSpace="-842"/>
        </w:sectPr>
      </w:pPr>
    </w:p>
    <w:p w14:paraId="2EA365C7">
      <w:pPr>
        <w:rPr>
          <w:rFonts w:hint="eastAsia" w:ascii="宋体" w:hAnsi="宋体" w:eastAsia="等线" w:cs="Times New Roman"/>
          <w:color w:val="auto"/>
          <w:szCs w:val="21"/>
        </w:rPr>
        <w:sectPr>
          <w:pgSz w:w="16838" w:h="11906" w:orient="landscape"/>
          <w:pgMar w:top="1587" w:right="2098" w:bottom="1474" w:left="1984" w:header="851" w:footer="1587" w:gutter="0"/>
          <w:pgNumType w:fmt="decimal"/>
          <w:cols w:space="0" w:num="1"/>
          <w:rtlGutter w:val="0"/>
          <w:docGrid w:type="linesAndChars" w:linePitch="579" w:charSpace="-842"/>
        </w:sectPr>
      </w:pPr>
    </w:p>
    <w:p w14:paraId="74569768">
      <w:pPr>
        <w:rPr>
          <w:rFonts w:hint="eastAsia" w:ascii="宋体" w:hAnsi="宋体" w:eastAsia="等线" w:cs="Times New Roman"/>
          <w:color w:val="auto"/>
          <w:szCs w:val="21"/>
        </w:rPr>
      </w:pPr>
    </w:p>
    <w:p w14:paraId="470F0A34">
      <w:pPr>
        <w:keepNext w:val="0"/>
        <w:keepLines w:val="0"/>
        <w:pageBreakBefore w:val="0"/>
        <w:kinsoku/>
        <w:wordWrap/>
        <w:overflowPunct/>
        <w:topLinePunct w:val="0"/>
        <w:autoSpaceDE/>
        <w:autoSpaceDN/>
        <w:bidi w:val="0"/>
        <w:adjustRightInd/>
        <w:snapToGrid/>
        <w:spacing w:beforeAutospacing="0" w:afterAutospacing="0" w:line="576" w:lineRule="exact"/>
        <w:jc w:val="center"/>
        <w:textAlignment w:val="auto"/>
        <w:rPr>
          <w:rFonts w:hint="default" w:ascii="宋体" w:hAnsi="宋体" w:eastAsia="宋体" w:cs="宋体"/>
          <w:sz w:val="32"/>
          <w:szCs w:val="32"/>
        </w:rPr>
      </w:pPr>
    </w:p>
    <w:sectPr>
      <w:pgSz w:w="16838" w:h="11906" w:orient="landscape"/>
      <w:pgMar w:top="1587" w:right="2098" w:bottom="1474" w:left="1984" w:header="851" w:footer="1587" w:gutter="0"/>
      <w:pgNumType w:fmt="decimal"/>
      <w:cols w:space="0" w:num="1"/>
      <w:rtlGutter w:val="0"/>
      <w:docGrid w:type="linesAndChars" w:linePitch="579" w:charSpace="-84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453B5D53-E6F6-4C94-9B8A-E90B9FF72503}"/>
  </w:font>
  <w:font w:name="方正小标宋简体">
    <w:panose1 w:val="02000000000000000000"/>
    <w:charset w:val="86"/>
    <w:family w:val="auto"/>
    <w:pitch w:val="default"/>
    <w:sig w:usb0="A00002BF" w:usb1="184F6CFA" w:usb2="00000012" w:usb3="00000000" w:csb0="00040001" w:csb1="00000000"/>
    <w:embedRegular r:id="rId2" w:fontKey="{33D4287F-95F1-462E-A58F-ADAF7C1AEAA0}"/>
  </w:font>
  <w:font w:name="方正仿宋简体">
    <w:panose1 w:val="02000000000000000000"/>
    <w:charset w:val="86"/>
    <w:family w:val="auto"/>
    <w:pitch w:val="default"/>
    <w:sig w:usb0="A00002BF" w:usb1="184F6CFA" w:usb2="00000012" w:usb3="00000000" w:csb0="00040001" w:csb1="00000000"/>
    <w:embedRegular r:id="rId3" w:fontKey="{E20E3F97-8F3E-49FB-969E-EA3B2B1E6A8A}"/>
  </w:font>
  <w:font w:name="方正黑体简体">
    <w:panose1 w:val="02000000000000000000"/>
    <w:charset w:val="86"/>
    <w:family w:val="auto"/>
    <w:pitch w:val="default"/>
    <w:sig w:usb0="A00002BF" w:usb1="184F6CFA" w:usb2="00000012" w:usb3="00000000" w:csb0="00040001" w:csb1="00000000"/>
    <w:embedRegular r:id="rId4" w:fontKey="{78882015-062B-43FA-BA95-3DA63239D55E}"/>
  </w:font>
  <w:font w:name="等线">
    <w:panose1 w:val="02010600030101010101"/>
    <w:charset w:val="86"/>
    <w:family w:val="auto"/>
    <w:pitch w:val="default"/>
    <w:sig w:usb0="A00002BF" w:usb1="38CF7CFA" w:usb2="00000016" w:usb3="00000000" w:csb0="0004000F" w:csb1="00000000"/>
    <w:embedRegular r:id="rId5" w:fontKey="{53A53F4E-6891-4B83-8597-6D6BEDE081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DE22">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55D89D">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055D89D">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FF09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402EF3">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4402EF3">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8DB1D"/>
    <w:multiLevelType w:val="multilevel"/>
    <w:tmpl w:val="CFF8DB1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A65AD"/>
    <w:rsid w:val="18E6766C"/>
    <w:rsid w:val="2C9873A3"/>
    <w:rsid w:val="56842A43"/>
    <w:rsid w:val="58153A2B"/>
    <w:rsid w:val="5E2E50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3920</Words>
  <Characters>3930</Characters>
  <Lines>0</Lines>
  <Paragraphs>0</Paragraphs>
  <TotalTime>7</TotalTime>
  <ScaleCrop>false</ScaleCrop>
  <LinksUpToDate>false</LinksUpToDate>
  <CharactersWithSpaces>3979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2026-07-20T10:41:00Z</dcterms:created>
  <dc:creator>admin</dc:creator>
  <cp:lastModifiedBy>Administrator</cp:lastModifiedBy>
  <cp:lastPrinted>2026-09-20T02:40:00Z</cp:lastPrinted>
  <dcterms:modified xsi:type="dcterms:W3CDTF">2026-09-21T04:06:17Z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7750F6C29CAC459B84C940A42EA3B54F_12</vt:lpwstr>
  </property>
  <property fmtid="{D5CDD505-2E9C-101B-9397-08002B2CF9AE}" pid="4" name="KSOTemplateDocerSaveRecord">
    <vt:lpwstr>eyJoZGlkIjoiNGY3NzNkMzgxYWI1M2Q4YzYxOGIwMzlmMzk3NTE2YjIiLCJ1c2VySWQiOiIxNjg1NTUyODA1In0=</vt:lpwstr>
  </property>
</Properties>
</file>